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80"/>
        <w:rPr>
          <w:b w:val="1"/>
          <w:color w:val="0000ff"/>
        </w:rPr>
      </w:pPr>
      <w:r w:rsidDel="00000000" w:rsidR="00000000" w:rsidRPr="00000000">
        <w:rPr>
          <w:b w:val="1"/>
          <w:rtl w:val="0"/>
        </w:rPr>
        <w:t xml:space="preserve">Check One:</w:t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Project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Review</w:t>
        <w:tab/>
        <w:tab/>
      </w:r>
      <w:r w:rsidDel="00000000" w:rsidR="00000000" w:rsidRPr="00000000">
        <w:rPr>
          <w:b w:val="1"/>
          <w:color w:val="0000ff"/>
          <w:rtl w:val="0"/>
        </w:rPr>
        <w:t xml:space="preserve">🗹 Collaboration</w:t>
      </w:r>
    </w:p>
    <w:p w:rsidR="00000000" w:rsidDel="00000000" w:rsidP="00000000" w:rsidRDefault="00000000" w:rsidRPr="00000000" w14:paraId="00000003">
      <w:pPr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Workshop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04">
      <w:pPr>
        <w:ind w:right="-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6840"/>
        <w:tblGridChange w:id="0">
          <w:tblGrid>
            <w:gridCol w:w="2065"/>
            <w:gridCol w:w="6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Descriptive Title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Working Title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Flow Aids vs Grind Aids - Compare &amp; Contrast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Technical Area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Dry Systems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2025-06-17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Description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Flow aids (nanoparticles) and grind aids (liquids) are both additives that affect behaviour of powders in industrial settings. It seems it would be a missed opportunity if we did not cross-test these additives: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color w:val="0000ff"/>
                <w:u w:val="no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how do the dry flow aids used at NJIT affect the key functions in grinding circuits as tested at TUBS: the breakage, dynamics (selection for breakage, selection for removal from mill) as well as classification. Furthermore, can flow aid effects also be built into the DYSSOL simulation.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color w:val="0000ff"/>
                <w:u w:val="no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how do the grind aids tested at TUBS perform in the tests developed at NJIT?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color w:val="0000ff"/>
                <w:u w:val="no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Are flow aids and grind aids interchangeable or one works better than the other in terms of flow enhancement? Could they be used in a synergistic sense by doing a limited number of tests?</w:t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To clarify what distinguishes grind aids from flow aids, and what is common - both in effects and mechanisms.</w:t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Take advantage of having robust setups for the evaluation of each to “cross-test”.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.92968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Scope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Scope would be the systems already developed by each team for the IFPRI projects already underway. No new setups should be required.</w:t>
            </w:r>
          </w:p>
          <w:p w:rsidR="00000000" w:rsidDel="00000000" w:rsidP="00000000" w:rsidRDefault="00000000" w:rsidRPr="00000000" w14:paraId="0000001C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610"/>
        <w:gridCol w:w="3960"/>
        <w:tblGridChange w:id="0">
          <w:tblGrid>
            <w:gridCol w:w="2340"/>
            <w:gridCol w:w="2610"/>
            <w:gridCol w:w="396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bookmarkStart w:colFirst="0" w:colLast="0" w:name="_heading=h.fhhjwfjxvjyt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Recommended Contractors (2 or 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Arno Kwade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TU Braunschweig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ff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a.kwade@tu-braunschweig.de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Raj Dave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NJIT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ff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dave@njit.edu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590"/>
        <w:tblGridChange w:id="0">
          <w:tblGrid>
            <w:gridCol w:w="4315"/>
            <w:gridCol w:w="459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Submitted By: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Jarrod Hart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Imerys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Pete Bergstrom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tabs>
        <w:tab w:val="left" w:leader="none" w:pos="3480"/>
        <w:tab w:val="left" w:leader="none" w:pos="3645"/>
      </w:tabs>
      <w:rPr/>
    </w:pPr>
    <w:r w:rsidDel="00000000" w:rsidR="00000000" w:rsidRPr="00000000">
      <w:rPr>
        <w:rtl w:val="0"/>
      </w:rPr>
      <w:tab/>
      <w:t xml:space="preserve">Template v.1.0 - RB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Title used in meeting agendas and file archives</w:t>
      </w:r>
    </w:p>
  </w:footnote>
  <w:footnote w:id="1"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b w:val="1"/>
        <w:smallCaps w:val="1"/>
        <w:sz w:val="28"/>
        <w:szCs w:val="28"/>
      </w:rPr>
      <w:drawing>
        <wp:inline distB="0" distT="0" distL="0" distR="0">
          <wp:extent cx="1620476" cy="684827"/>
          <wp:effectExtent b="0" l="0" r="0" t="0"/>
          <wp:docPr descr="C:\Users\Home\Google Drive\IFPRI\Logos\newlogov1.jpg" id="3" name="image1.jpg"/>
          <a:graphic>
            <a:graphicData uri="http://schemas.openxmlformats.org/drawingml/2006/picture">
              <pic:pic>
                <pic:nvPicPr>
                  <pic:cNvPr descr="C:\Users\Home\Google Drive\IFPRI\Logos\newlogov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476" cy="684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b w:val="1"/>
        <w:smallCaps w:val="1"/>
        <w:sz w:val="28"/>
        <w:szCs w:val="28"/>
        <w:rtl w:val="0"/>
      </w:rPr>
      <w:t xml:space="preserve">IFPRI  Brief Template</w: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mailto:dave@njit.ed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.kwade@tu-braunschweig.d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1g7BfWv4gnMRybOYDNNHK7siQ==">CgMxLjAyDmguZmhoandmanh2anl0OAByITFZYUJMNWV3NjMxcjFqcmlWbHd3eFZpMTBBamJzRy1mbw==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