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 One: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Project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Review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☒</w:t>
      </w:r>
      <w:r w:rsidDel="00000000" w:rsidR="00000000" w:rsidRPr="00000000">
        <w:rPr>
          <w:b w:val="1"/>
          <w:rtl w:val="0"/>
        </w:rPr>
        <w:t xml:space="preserve">Collaboration</w:t>
      </w:r>
    </w:p>
    <w:p w:rsidR="00000000" w:rsidDel="00000000" w:rsidP="00000000" w:rsidRDefault="00000000" w:rsidRPr="00000000" w14:paraId="00000003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Workshop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04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6840"/>
        <w:tblGridChange w:id="0">
          <w:tblGrid>
            <w:gridCol w:w="2065"/>
            <w:gridCol w:w="684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Descriptive Title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Research Simplex Atomizer: Analyse viscous liquids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Title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Area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16 June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Description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The Research Simplex Atomizer is used as a model atomizer system. Currently mainly hydrocarbons have been analysed. For IFPRI members it would be interesting to characterise other (liquid) systems. Liquids that can be analysed are: concentrated skim/whole milk, maltodextrin solutions, yeast extract or other industrial relevant systems.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Characterise model liquids (relevant for IFPRI members) and compare results with modelling work of Desjardins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8"/>
        <w:gridCol w:w="2968"/>
        <w:gridCol w:w="2969"/>
        <w:tblGridChange w:id="0">
          <w:tblGrid>
            <w:gridCol w:w="2968"/>
            <w:gridCol w:w="2968"/>
            <w:gridCol w:w="296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Recommended Contractors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Vince Mcdonell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UC Irvine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mcdonell@ucicl.uci.edu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Olivier Desjardins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Cornell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590"/>
        <w:tblGridChange w:id="0">
          <w:tblGrid>
            <w:gridCol w:w="4315"/>
            <w:gridCol w:w="45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Submitted By: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Martijn van der Hoeven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Danone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Vincent Meunier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Nestl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Nabs Ahmed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Keurig Dr Pepper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Isabel Deleris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Cargill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Jasper Jammaer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J&amp;J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Alexander Findeisen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Novonesis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tabs>
        <w:tab w:val="left" w:leader="none" w:pos="3480"/>
        <w:tab w:val="left" w:leader="none" w:pos="3645"/>
      </w:tabs>
      <w:rPr/>
    </w:pPr>
    <w:r w:rsidDel="00000000" w:rsidR="00000000" w:rsidRPr="00000000">
      <w:rPr>
        <w:rtl w:val="0"/>
      </w:rPr>
      <w:tab/>
      <w:t xml:space="preserve">Template v.1.0 - RB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Title used in meeting agendas and file archives</w:t>
      </w:r>
    </w:p>
  </w:footnote>
  <w:footnote w:id="1"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</w:rPr>
      <w:drawing>
        <wp:inline distB="0" distT="0" distL="0" distR="0">
          <wp:extent cx="1620476" cy="684827"/>
          <wp:effectExtent b="0" l="0" r="0" t="0"/>
          <wp:docPr descr="C:\Users\Home\Google Drive\IFPRI\Logos\newlogov1.jpg" id="4" name="image1.jpg"/>
          <a:graphic>
            <a:graphicData uri="http://schemas.openxmlformats.org/drawingml/2006/picture">
              <pic:pic>
                <pic:nvPicPr>
                  <pic:cNvPr descr="C:\Users\Home\Google Drive\IFPRI\Logos\newlogov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476" cy="684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  <w:rtl w:val="0"/>
      </w:rPr>
      <w:t xml:space="preserve">IFPRI  Brief Template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ko-KR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erChar" w:customStyle="1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7/+XLm1sEzU68WiQFLAsDf2Cw==">CgMxLjA4AHIhMTctbVg0UlFNdm5nTEZ1OXNGZmZYVG82MUNUSG13ZjNh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2025-06-16T15:35:00Z</dcterms:created>
  <dc:creator>Boerefijn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