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right="-180"/>
        <w:rPr>
          <w:b w:val="1"/>
        </w:rPr>
      </w:pPr>
      <w:r w:rsidDel="00000000" w:rsidR="00000000" w:rsidRPr="00000000">
        <w:rPr>
          <w:b w:val="1"/>
          <w:rtl w:val="0"/>
        </w:rPr>
        <w:t xml:space="preserve">Check One:    </w:t>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Project</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Review</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Collaboration</w:t>
      </w:r>
    </w:p>
    <w:p w:rsidR="00000000" w:rsidDel="00000000" w:rsidP="00000000" w:rsidRDefault="00000000" w:rsidRPr="00000000" w14:paraId="00000003">
      <w:pPr>
        <w:ind w:right="-180"/>
        <w:rPr>
          <w:b w:val="1"/>
        </w:rPr>
      </w:pPr>
      <w:r w:rsidDel="00000000" w:rsidR="00000000" w:rsidRPr="00000000">
        <w:rPr>
          <w:b w:val="1"/>
          <w:rtl w:val="0"/>
        </w:rPr>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Workshop</w:t>
        <w:tab/>
        <w:tab/>
      </w: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Other</w:t>
      </w:r>
    </w:p>
    <w:p w:rsidR="00000000" w:rsidDel="00000000" w:rsidP="00000000" w:rsidRDefault="00000000" w:rsidRPr="00000000" w14:paraId="00000004">
      <w:pPr>
        <w:ind w:right="-9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840"/>
        <w:tblGridChange w:id="0">
          <w:tblGrid>
            <w:gridCol w:w="2065"/>
            <w:gridCol w:w="6840"/>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Descriptive Title</w:t>
            </w:r>
          </w:p>
        </w:tc>
        <w:tc>
          <w:tcPr/>
          <w:p w:rsidR="00000000" w:rsidDel="00000000" w:rsidP="00000000" w:rsidRDefault="00000000" w:rsidRPr="00000000" w14:paraId="00000007">
            <w:pPr>
              <w:rPr/>
            </w:pPr>
            <w:r w:rsidDel="00000000" w:rsidR="00000000" w:rsidRPr="00000000">
              <w:rPr>
                <w:rtl w:val="0"/>
              </w:rPr>
              <w:t xml:space="preserve">AI-Assisted Particle and Powder Characterization using Computer Vision</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Working Title</w:t>
            </w:r>
            <w:r w:rsidDel="00000000" w:rsidR="00000000" w:rsidRPr="00000000">
              <w:rPr>
                <w:b w:val="1"/>
                <w:vertAlign w:val="superscript"/>
              </w:rPr>
              <w:footnoteReference w:customMarkFollows="0" w:id="0"/>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AI-Assisted Characterization</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Technical Area</w:t>
            </w:r>
            <w:r w:rsidDel="00000000" w:rsidR="00000000" w:rsidRPr="00000000">
              <w:rPr>
                <w:b w:val="1"/>
                <w:vertAlign w:val="superscript"/>
              </w:rPr>
              <w:footnoteReference w:customMarkFollows="0" w:id="1"/>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Characterization</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Date</w:t>
            </w:r>
          </w:p>
        </w:tc>
        <w:tc>
          <w:tcPr/>
          <w:p w:rsidR="00000000" w:rsidDel="00000000" w:rsidP="00000000" w:rsidRDefault="00000000" w:rsidRPr="00000000" w14:paraId="0000000D">
            <w:pPr>
              <w:rPr/>
            </w:pPr>
            <w:r w:rsidDel="00000000" w:rsidR="00000000" w:rsidRPr="00000000">
              <w:rPr>
                <w:rtl w:val="0"/>
              </w:rPr>
              <w:t xml:space="preserve">16/06/2025</w:t>
            </w:r>
          </w:p>
        </w:tc>
      </w:tr>
      <w:tr>
        <w:trPr>
          <w:cantSplit w:val="0"/>
          <w:tblHeader w:val="0"/>
        </w:trPr>
        <w:tc>
          <w:tcPr/>
          <w:p w:rsidR="00000000" w:rsidDel="00000000" w:rsidP="00000000" w:rsidRDefault="00000000" w:rsidRPr="00000000" w14:paraId="0000000E">
            <w:pPr>
              <w:rPr>
                <w:b w:val="1"/>
              </w:rPr>
            </w:pPr>
            <w:r w:rsidDel="00000000" w:rsidR="00000000" w:rsidRPr="00000000">
              <w:rPr>
                <w:b w:val="1"/>
                <w:rtl w:val="0"/>
              </w:rPr>
              <w:t xml:space="preserve">Short Description</w:t>
            </w:r>
          </w:p>
        </w:tc>
        <w:tc>
          <w:tcPr/>
          <w:p w:rsidR="00000000" w:rsidDel="00000000" w:rsidP="00000000" w:rsidRDefault="00000000" w:rsidRPr="00000000" w14:paraId="0000000F">
            <w:pPr>
              <w:spacing w:after="120" w:lineRule="auto"/>
              <w:jc w:val="both"/>
              <w:rPr>
                <w:sz w:val="22"/>
                <w:szCs w:val="22"/>
              </w:rPr>
            </w:pPr>
            <w:r w:rsidDel="00000000" w:rsidR="00000000" w:rsidRPr="00000000">
              <w:rPr>
                <w:sz w:val="22"/>
                <w:szCs w:val="22"/>
                <w:rtl w:val="0"/>
              </w:rPr>
              <w:t xml:space="preserve">This project aims to develop an AI-assisted computer vision model that employs advanced feature extraction techniques to evaluate bulk powder characteristics. By enabling early predictions of properties like flowability, the model minimizes material usage, allowing analysis with limited quantities.</w:t>
            </w:r>
          </w:p>
          <w:p w:rsidR="00000000" w:rsidDel="00000000" w:rsidP="00000000" w:rsidRDefault="00000000" w:rsidRPr="00000000" w14:paraId="00000010">
            <w:pPr>
              <w:spacing w:after="120" w:lineRule="auto"/>
              <w:jc w:val="both"/>
              <w:rPr>
                <w:sz w:val="22"/>
                <w:szCs w:val="22"/>
              </w:rPr>
            </w:pPr>
            <w:r w:rsidDel="00000000" w:rsidR="00000000" w:rsidRPr="00000000">
              <w:rPr>
                <w:sz w:val="22"/>
                <w:szCs w:val="22"/>
                <w:rtl w:val="0"/>
              </w:rPr>
              <w:t xml:space="preserve">The focus is on capturing images of powders during small-scale processes (e.g., dispersion, shearing, discharge) and using AI algorithms to link these images to powder flow characteristics, both quasi-static and dynamic. Additionally, easily measurable data at the particle level, such as primary size and shape distribution and density, could be incorporated as input to enhance the model's robustness. Furthermore, the small quantity of material makes this approach suitable for calibrating Discrete Element Method (DEM) and Computational Fluid Dynamics (CFD) simulations, advancing the field towards more robust digital twin simulations.</w:t>
            </w:r>
          </w:p>
          <w:p w:rsidR="00000000" w:rsidDel="00000000" w:rsidP="00000000" w:rsidRDefault="00000000" w:rsidRPr="00000000" w14:paraId="00000011">
            <w:pPr>
              <w:spacing w:after="120" w:lineRule="auto"/>
              <w:jc w:val="both"/>
              <w:rPr>
                <w:sz w:val="22"/>
                <w:szCs w:val="22"/>
              </w:rPr>
            </w:pPr>
            <w:r w:rsidDel="00000000" w:rsidR="00000000" w:rsidRPr="00000000">
              <w:rPr>
                <w:sz w:val="22"/>
                <w:szCs w:val="22"/>
                <w:rtl w:val="0"/>
              </w:rPr>
              <w:t xml:space="preserve">To enhance analytical capabilities, the principal investigator (PI) should consider utilizing cutting-edge computer vision algorithms, such as auto-encoders or vision transformers. Once trained, these models can analyze various processes, like powder discharge from hoppers, providing insights into how physical properties affect performance in industrial applications.</w:t>
            </w:r>
          </w:p>
          <w:p w:rsidR="00000000" w:rsidDel="00000000" w:rsidP="00000000" w:rsidRDefault="00000000" w:rsidRPr="00000000" w14:paraId="00000012">
            <w:pPr>
              <w:spacing w:after="120" w:lineRule="auto"/>
              <w:jc w:val="both"/>
              <w:rPr/>
            </w:pPr>
            <w:r w:rsidDel="00000000" w:rsidR="00000000" w:rsidRPr="00000000">
              <w:rPr>
                <w:sz w:val="22"/>
                <w:szCs w:val="22"/>
                <w:rtl w:val="0"/>
              </w:rPr>
              <w:t xml:space="preserve">For improved success, the PI is encouraged to select small-scale systems that capture inter-particle forces such as friction, cohesion, and electrostatics, as these factors influence imaging results. By addressing these multifactorial aspects, the model aims to deepen the understanding of bulk powder behavior, leading to enhanced material processing strategies across diverse industries.</w:t>
            </w: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Objectives</w:t>
            </w:r>
          </w:p>
        </w:tc>
        <w:tc>
          <w:tcPr/>
          <w:p w:rsidR="00000000" w:rsidDel="00000000" w:rsidP="00000000" w:rsidRDefault="00000000" w:rsidRPr="00000000" w14:paraId="00000014">
            <w:pPr>
              <w:spacing w:after="240" w:lineRule="auto"/>
              <w:jc w:val="both"/>
              <w:rPr>
                <w:sz w:val="22"/>
                <w:szCs w:val="22"/>
              </w:rPr>
            </w:pPr>
            <w:r w:rsidDel="00000000" w:rsidR="00000000" w:rsidRPr="00000000">
              <w:rPr>
                <w:b w:val="1"/>
                <w:sz w:val="22"/>
                <w:szCs w:val="22"/>
                <w:rtl w:val="0"/>
              </w:rPr>
              <w:t xml:space="preserve">Integrate Particle-Level Data: </w:t>
            </w:r>
            <w:r w:rsidDel="00000000" w:rsidR="00000000" w:rsidRPr="00000000">
              <w:rPr>
                <w:sz w:val="22"/>
                <w:szCs w:val="22"/>
                <w:rtl w:val="0"/>
              </w:rPr>
              <w:t xml:space="preserve">Incorporate essential parameters like size, shape, bulk density, and dispersion metrics to enhance predictive accuracy for powder flowability.</w:t>
            </w:r>
          </w:p>
          <w:p w:rsidR="00000000" w:rsidDel="00000000" w:rsidP="00000000" w:rsidRDefault="00000000" w:rsidRPr="00000000" w14:paraId="00000015">
            <w:pPr>
              <w:spacing w:after="240" w:lineRule="auto"/>
              <w:jc w:val="both"/>
              <w:rPr>
                <w:sz w:val="22"/>
                <w:szCs w:val="22"/>
              </w:rPr>
            </w:pPr>
            <w:r w:rsidDel="00000000" w:rsidR="00000000" w:rsidRPr="00000000">
              <w:rPr>
                <w:b w:val="1"/>
                <w:sz w:val="22"/>
                <w:szCs w:val="22"/>
                <w:rtl w:val="0"/>
              </w:rPr>
              <w:t xml:space="preserve">Diverse Powder Analysis: </w:t>
            </w:r>
            <w:r w:rsidDel="00000000" w:rsidR="00000000" w:rsidRPr="00000000">
              <w:rPr>
                <w:sz w:val="22"/>
                <w:szCs w:val="22"/>
                <w:rtl w:val="0"/>
              </w:rPr>
              <w:t xml:space="preserve">Analyze a variety of powder types, considering differences in particle size distribution, shape, and adhesion, to improve model robustness across industrial applications.</w:t>
            </w:r>
          </w:p>
          <w:p w:rsidR="00000000" w:rsidDel="00000000" w:rsidP="00000000" w:rsidRDefault="00000000" w:rsidRPr="00000000" w14:paraId="00000016">
            <w:pPr>
              <w:spacing w:after="240" w:lineRule="auto"/>
              <w:jc w:val="both"/>
              <w:rPr>
                <w:sz w:val="22"/>
                <w:szCs w:val="22"/>
              </w:rPr>
            </w:pPr>
            <w:r w:rsidDel="00000000" w:rsidR="00000000" w:rsidRPr="00000000">
              <w:rPr>
                <w:b w:val="1"/>
                <w:sz w:val="22"/>
                <w:szCs w:val="22"/>
                <w:rtl w:val="0"/>
              </w:rPr>
              <w:t xml:space="preserve">Real-World Validation: </w:t>
            </w:r>
            <w:r w:rsidDel="00000000" w:rsidR="00000000" w:rsidRPr="00000000">
              <w:rPr>
                <w:sz w:val="22"/>
                <w:szCs w:val="22"/>
                <w:rtl w:val="0"/>
              </w:rPr>
              <w:t xml:space="preserve">Conduct tests with industrially relevant powders to validate model predictions in practical applications, particularly during hopper discharge and screw feeding processes.</w:t>
            </w:r>
          </w:p>
          <w:p w:rsidR="00000000" w:rsidDel="00000000" w:rsidP="00000000" w:rsidRDefault="00000000" w:rsidRPr="00000000" w14:paraId="00000017">
            <w:pPr>
              <w:spacing w:after="240" w:lineRule="auto"/>
              <w:jc w:val="both"/>
              <w:rPr>
                <w:sz w:val="22"/>
                <w:szCs w:val="22"/>
              </w:rPr>
            </w:pPr>
            <w:r w:rsidDel="00000000" w:rsidR="00000000" w:rsidRPr="00000000">
              <w:rPr>
                <w:b w:val="1"/>
                <w:sz w:val="22"/>
                <w:szCs w:val="22"/>
                <w:rtl w:val="0"/>
              </w:rPr>
              <w:t xml:space="preserve">Analyze Flow Behavior: </w:t>
            </w:r>
            <w:r w:rsidDel="00000000" w:rsidR="00000000" w:rsidRPr="00000000">
              <w:rPr>
                <w:sz w:val="22"/>
                <w:szCs w:val="22"/>
                <w:rtl w:val="0"/>
              </w:rPr>
              <w:t xml:space="preserve">Utilize imaging systems to capture and assess the effects of forces like friction and cohesion on powder flow behavior, providing insights into handling and processing dynamics.</w:t>
            </w:r>
          </w:p>
          <w:p w:rsidR="00000000" w:rsidDel="00000000" w:rsidP="00000000" w:rsidRDefault="00000000" w:rsidRPr="00000000" w14:paraId="00000018">
            <w:pPr>
              <w:spacing w:after="240" w:lineRule="auto"/>
              <w:jc w:val="both"/>
              <w:rPr>
                <w:sz w:val="22"/>
                <w:szCs w:val="22"/>
              </w:rPr>
            </w:pPr>
            <w:r w:rsidDel="00000000" w:rsidR="00000000" w:rsidRPr="00000000">
              <w:rPr>
                <w:b w:val="1"/>
                <w:sz w:val="22"/>
                <w:szCs w:val="22"/>
                <w:rtl w:val="0"/>
              </w:rPr>
              <w:t xml:space="preserve">Utilize Advanced AI-Algorithms: </w:t>
            </w:r>
            <w:r w:rsidDel="00000000" w:rsidR="00000000" w:rsidRPr="00000000">
              <w:rPr>
                <w:sz w:val="22"/>
                <w:szCs w:val="22"/>
                <w:rtl w:val="0"/>
              </w:rPr>
              <w:t xml:space="preserve">Implement auto-encoders and vision transformers to analyze powder dispersal and flow patterns, revealing insights into flowability factors during processing.</w:t>
            </w:r>
          </w:p>
          <w:p w:rsidR="00000000" w:rsidDel="00000000" w:rsidP="00000000" w:rsidRDefault="00000000" w:rsidRPr="00000000" w14:paraId="00000019">
            <w:pPr>
              <w:jc w:val="both"/>
              <w:rPr/>
            </w:pPr>
            <w:r w:rsidDel="00000000" w:rsidR="00000000" w:rsidRPr="00000000">
              <w:rPr>
                <w:b w:val="1"/>
                <w:sz w:val="22"/>
                <w:szCs w:val="22"/>
                <w:rtl w:val="0"/>
              </w:rPr>
              <w:t xml:space="preserve">Create an Open Database: </w:t>
            </w:r>
            <w:r w:rsidDel="00000000" w:rsidR="00000000" w:rsidRPr="00000000">
              <w:rPr>
                <w:sz w:val="22"/>
                <w:szCs w:val="22"/>
                <w:rtl w:val="0"/>
              </w:rPr>
              <w:t xml:space="preserve">Develop an open-access database to compile project findings, models, and data, benefiting future research and collaboration in the field.</w:t>
            </w:r>
            <w:r w:rsidDel="00000000" w:rsidR="00000000" w:rsidRPr="00000000">
              <w:rPr>
                <w:rtl w:val="0"/>
              </w:rPr>
            </w:r>
          </w:p>
        </w:tc>
      </w:tr>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Scope</w:t>
            </w:r>
          </w:p>
        </w:tc>
        <w:tc>
          <w:tcPr/>
          <w:p w:rsidR="00000000" w:rsidDel="00000000" w:rsidP="00000000" w:rsidRDefault="00000000" w:rsidRPr="00000000" w14:paraId="0000001B">
            <w:pPr>
              <w:rPr/>
            </w:pPr>
            <w:r w:rsidDel="00000000" w:rsidR="00000000" w:rsidRPr="00000000">
              <w:rPr>
                <w:rtl w:val="0"/>
              </w:rPr>
              <w:t xml:space="preserve">In Scope: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Dry or/and Wet systems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existing industrial characterization tools both for imaging and characterization</w:t>
            </w:r>
          </w:p>
          <w:p w:rsidR="00000000" w:rsidDel="00000000" w:rsidP="00000000" w:rsidRDefault="00000000" w:rsidRPr="00000000" w14:paraId="0000001E">
            <w:pPr>
              <w:rPr/>
            </w:pPr>
            <w:r w:rsidDel="00000000" w:rsidR="00000000" w:rsidRPr="00000000">
              <w:rPr>
                <w:rtl w:val="0"/>
              </w:rPr>
              <w:t xml:space="preserve">Out Scope: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DEM/CFD modelling</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image analysis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Pure data driven approaches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PCA/PLS</w:t>
            </w:r>
          </w:p>
        </w:tc>
      </w:tr>
    </w:tbl>
    <w:p w:rsidR="00000000" w:rsidDel="00000000" w:rsidP="00000000" w:rsidRDefault="00000000" w:rsidRPr="00000000" w14:paraId="00000023">
      <w:pPr>
        <w:rPr/>
      </w:pPr>
      <w:r w:rsidDel="00000000" w:rsidR="00000000" w:rsidRPr="00000000">
        <w:rPr>
          <w:rtl w:val="0"/>
        </w:rPr>
      </w:r>
    </w:p>
    <w:tbl>
      <w:tblPr>
        <w:tblStyle w:val="Table2"/>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8"/>
        <w:gridCol w:w="2968"/>
        <w:gridCol w:w="2969"/>
        <w:tblGridChange w:id="0">
          <w:tblGrid>
            <w:gridCol w:w="2968"/>
            <w:gridCol w:w="2968"/>
            <w:gridCol w:w="2969"/>
          </w:tblGrid>
        </w:tblGridChange>
      </w:tblGrid>
      <w:tr>
        <w:trPr>
          <w:cantSplit w:val="0"/>
          <w:tblHeader w:val="0"/>
        </w:trPr>
        <w:tc>
          <w:tcPr>
            <w:gridSpan w:val="3"/>
          </w:tcPr>
          <w:p w:rsidR="00000000" w:rsidDel="00000000" w:rsidP="00000000" w:rsidRDefault="00000000" w:rsidRPr="00000000" w14:paraId="00000024">
            <w:pPr>
              <w:jc w:val="center"/>
              <w:rPr>
                <w:b w:val="1"/>
              </w:rPr>
            </w:pPr>
            <w:r w:rsidDel="00000000" w:rsidR="00000000" w:rsidRPr="00000000">
              <w:rPr>
                <w:b w:val="1"/>
                <w:rtl w:val="0"/>
              </w:rPr>
              <w:t xml:space="preserve">Recommended Contractors (2 or 3)</w:t>
            </w:r>
          </w:p>
        </w:tc>
      </w:tr>
      <w:tr>
        <w:trPr>
          <w:cantSplit w:val="0"/>
          <w:tblHeader w:val="0"/>
        </w:trPr>
        <w:tc>
          <w:tcPr/>
          <w:p w:rsidR="00000000" w:rsidDel="00000000" w:rsidP="00000000" w:rsidRDefault="00000000" w:rsidRPr="00000000" w14:paraId="00000027">
            <w:pPr>
              <w:jc w:val="center"/>
              <w:rPr>
                <w:b w:val="1"/>
              </w:rPr>
            </w:pPr>
            <w:r w:rsidDel="00000000" w:rsidR="00000000" w:rsidRPr="00000000">
              <w:rPr>
                <w:b w:val="1"/>
                <w:rtl w:val="0"/>
              </w:rPr>
              <w:t xml:space="preserve">Name</w:t>
            </w:r>
          </w:p>
        </w:tc>
        <w:tc>
          <w:tcPr/>
          <w:p w:rsidR="00000000" w:rsidDel="00000000" w:rsidP="00000000" w:rsidRDefault="00000000" w:rsidRPr="00000000" w14:paraId="00000028">
            <w:pPr>
              <w:jc w:val="center"/>
              <w:rPr>
                <w:b w:val="1"/>
              </w:rPr>
            </w:pPr>
            <w:r w:rsidDel="00000000" w:rsidR="00000000" w:rsidRPr="00000000">
              <w:rPr>
                <w:b w:val="1"/>
                <w:rtl w:val="0"/>
              </w:rPr>
              <w:t xml:space="preserve">Institution</w:t>
            </w:r>
          </w:p>
        </w:tc>
        <w:tc>
          <w:tcPr/>
          <w:p w:rsidR="00000000" w:rsidDel="00000000" w:rsidP="00000000" w:rsidRDefault="00000000" w:rsidRPr="00000000" w14:paraId="00000029">
            <w:pPr>
              <w:jc w:val="cente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Arash Rabbani</w:t>
            </w:r>
          </w:p>
        </w:tc>
        <w:tc>
          <w:tcPr/>
          <w:p w:rsidR="00000000" w:rsidDel="00000000" w:rsidP="00000000" w:rsidRDefault="00000000" w:rsidRPr="00000000" w14:paraId="0000002B">
            <w:pPr>
              <w:rPr/>
            </w:pPr>
            <w:r w:rsidDel="00000000" w:rsidR="00000000" w:rsidRPr="00000000">
              <w:rPr>
                <w:rtl w:val="0"/>
              </w:rPr>
              <w:t xml:space="preserve">University of Leeds</w:t>
            </w:r>
          </w:p>
        </w:tc>
        <w:tc>
          <w:tcPr/>
          <w:p w:rsidR="00000000" w:rsidDel="00000000" w:rsidP="00000000" w:rsidRDefault="00000000" w:rsidRPr="00000000" w14:paraId="0000002C">
            <w:pPr>
              <w:rPr/>
            </w:pPr>
            <w:r w:rsidDel="00000000" w:rsidR="00000000" w:rsidRPr="00000000">
              <w:rPr>
                <w:rtl w:val="0"/>
              </w:rPr>
              <w:t xml:space="preserve">a.rabbani@leeds.ac.uk</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Carsten Schilde</w:t>
            </w:r>
          </w:p>
        </w:tc>
        <w:tc>
          <w:tcPr/>
          <w:p w:rsidR="00000000" w:rsidDel="00000000" w:rsidP="00000000" w:rsidRDefault="00000000" w:rsidRPr="00000000" w14:paraId="0000002E">
            <w:pPr>
              <w:rPr/>
            </w:pPr>
            <w:r w:rsidDel="00000000" w:rsidR="00000000" w:rsidRPr="00000000">
              <w:rPr>
                <w:rtl w:val="0"/>
              </w:rPr>
              <w:t xml:space="preserve">Braunschweig University of Technology</w:t>
            </w:r>
          </w:p>
        </w:tc>
        <w:tc>
          <w:tcPr/>
          <w:p w:rsidR="00000000" w:rsidDel="00000000" w:rsidP="00000000" w:rsidRDefault="00000000" w:rsidRPr="00000000" w14:paraId="0000002F">
            <w:pPr>
              <w:rPr/>
            </w:pPr>
            <w:r w:rsidDel="00000000" w:rsidR="00000000" w:rsidRPr="00000000">
              <w:rPr>
                <w:rtl w:val="0"/>
              </w:rPr>
              <w:t xml:space="preserve">c.schilde@tu-braunschweig.de</w:t>
            </w:r>
          </w:p>
        </w:tc>
      </w:tr>
      <w:tr>
        <w:trPr>
          <w:cantSplit w:val="0"/>
          <w:tblHeader w:val="0"/>
        </w:trPr>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3"/>
        <w:tblW w:w="8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4590"/>
        <w:tblGridChange w:id="0">
          <w:tblGrid>
            <w:gridCol w:w="4315"/>
            <w:gridCol w:w="4590"/>
          </w:tblGrid>
        </w:tblGridChange>
      </w:tblGrid>
      <w:tr>
        <w:trPr>
          <w:cantSplit w:val="0"/>
          <w:tblHeader w:val="0"/>
        </w:trPr>
        <w:tc>
          <w:tcPr>
            <w:gridSpan w:val="2"/>
          </w:tcPr>
          <w:p w:rsidR="00000000" w:rsidDel="00000000" w:rsidP="00000000" w:rsidRDefault="00000000" w:rsidRPr="00000000" w14:paraId="00000034">
            <w:pPr>
              <w:jc w:val="center"/>
              <w:rPr>
                <w:b w:val="1"/>
              </w:rPr>
            </w:pPr>
            <w:r w:rsidDel="00000000" w:rsidR="00000000" w:rsidRPr="00000000">
              <w:rPr>
                <w:b w:val="1"/>
                <w:rtl w:val="0"/>
              </w:rPr>
              <w:t xml:space="preserve">Submitted By:</w:t>
            </w:r>
          </w:p>
        </w:tc>
      </w:tr>
      <w:tr>
        <w:trPr>
          <w:cantSplit w:val="0"/>
          <w:tblHeader w:val="0"/>
        </w:trPr>
        <w:tc>
          <w:tcPr/>
          <w:p w:rsidR="00000000" w:rsidDel="00000000" w:rsidP="00000000" w:rsidRDefault="00000000" w:rsidRPr="00000000" w14:paraId="00000036">
            <w:pPr>
              <w:jc w:val="center"/>
              <w:rPr>
                <w:b w:val="1"/>
              </w:rPr>
            </w:pPr>
            <w:r w:rsidDel="00000000" w:rsidR="00000000" w:rsidRPr="00000000">
              <w:rPr>
                <w:b w:val="1"/>
                <w:rtl w:val="0"/>
              </w:rPr>
              <w:t xml:space="preserve">Name</w:t>
            </w:r>
          </w:p>
        </w:tc>
        <w:tc>
          <w:tcPr/>
          <w:p w:rsidR="00000000" w:rsidDel="00000000" w:rsidP="00000000" w:rsidRDefault="00000000" w:rsidRPr="00000000" w14:paraId="00000037">
            <w:pPr>
              <w:jc w:val="center"/>
              <w:rPr>
                <w:b w:val="1"/>
              </w:rPr>
            </w:pPr>
            <w:r w:rsidDel="00000000" w:rsidR="00000000" w:rsidRPr="00000000">
              <w:rPr>
                <w:b w:val="1"/>
                <w:rtl w:val="0"/>
              </w:rPr>
              <w:t xml:space="preserve">Organization</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Mehrdad Pasha</w:t>
            </w:r>
          </w:p>
        </w:tc>
        <w:tc>
          <w:tcPr/>
          <w:p w:rsidR="00000000" w:rsidDel="00000000" w:rsidP="00000000" w:rsidRDefault="00000000" w:rsidRPr="00000000" w14:paraId="00000039">
            <w:pPr>
              <w:rPr/>
            </w:pPr>
            <w:r w:rsidDel="00000000" w:rsidR="00000000" w:rsidRPr="00000000">
              <w:rPr>
                <w:rtl w:val="0"/>
              </w:rPr>
              <w:t xml:space="preserve">J&amp;J</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Martijn van der Hoeven</w:t>
            </w:r>
          </w:p>
        </w:tc>
        <w:tc>
          <w:tcPr/>
          <w:p w:rsidR="00000000" w:rsidDel="00000000" w:rsidP="00000000" w:rsidRDefault="00000000" w:rsidRPr="00000000" w14:paraId="0000003B">
            <w:pPr>
              <w:rPr/>
            </w:pPr>
            <w:r w:rsidDel="00000000" w:rsidR="00000000" w:rsidRPr="00000000">
              <w:rPr>
                <w:rtl w:val="0"/>
              </w:rPr>
              <w:t xml:space="preserve">Danone Nutrica</w:t>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Emanuela Del Gado</w:t>
            </w:r>
          </w:p>
        </w:tc>
        <w:tc>
          <w:tcPr/>
          <w:p w:rsidR="00000000" w:rsidDel="00000000" w:rsidP="00000000" w:rsidRDefault="00000000" w:rsidRPr="00000000" w14:paraId="0000003D">
            <w:pPr>
              <w:rPr/>
            </w:pPr>
            <w:r w:rsidDel="00000000" w:rsidR="00000000" w:rsidRPr="00000000">
              <w:rPr>
                <w:rtl w:val="0"/>
              </w:rPr>
              <w:t xml:space="preserve">Goergetown University</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Jasper JAMMAER</w:t>
            </w:r>
          </w:p>
        </w:tc>
        <w:tc>
          <w:tcPr/>
          <w:p w:rsidR="00000000" w:rsidDel="00000000" w:rsidP="00000000" w:rsidRDefault="00000000" w:rsidRPr="00000000" w14:paraId="0000003F">
            <w:pPr>
              <w:rPr/>
            </w:pPr>
            <w:r w:rsidDel="00000000" w:rsidR="00000000" w:rsidRPr="00000000">
              <w:rPr>
                <w:rtl w:val="0"/>
              </w:rPr>
              <w:t xml:space="preserve">J&amp;J</w:t>
            </w:r>
          </w:p>
        </w:tc>
      </w:tr>
      <w:tr>
        <w:trPr>
          <w:cantSplit w:val="0"/>
          <w:tblHeader w:val="0"/>
        </w:trPr>
        <w:tc>
          <w:tcPr/>
          <w:p w:rsidR="00000000" w:rsidDel="00000000" w:rsidP="00000000" w:rsidRDefault="00000000" w:rsidRPr="00000000" w14:paraId="00000040">
            <w:pPr>
              <w:rPr/>
            </w:pPr>
            <w:r w:rsidDel="00000000" w:rsidR="00000000" w:rsidRPr="00000000">
              <w:rPr>
                <w:rtl w:val="0"/>
              </w:rPr>
              <w:t xml:space="preserve">Amir Esteghamatian</w:t>
            </w:r>
          </w:p>
        </w:tc>
        <w:tc>
          <w:tcPr/>
          <w:p w:rsidR="00000000" w:rsidDel="00000000" w:rsidP="00000000" w:rsidRDefault="00000000" w:rsidRPr="00000000" w14:paraId="00000041">
            <w:pPr>
              <w:rPr/>
            </w:pPr>
            <w:r w:rsidDel="00000000" w:rsidR="00000000" w:rsidRPr="00000000">
              <w:rPr>
                <w:rtl w:val="0"/>
              </w:rPr>
              <w:t xml:space="preserve">Pfizer</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Simon Greener</w:t>
            </w:r>
          </w:p>
        </w:tc>
        <w:tc>
          <w:tcPr/>
          <w:p w:rsidR="00000000" w:rsidDel="00000000" w:rsidP="00000000" w:rsidRDefault="00000000" w:rsidRPr="00000000" w14:paraId="00000043">
            <w:pPr>
              <w:rPr/>
            </w:pPr>
            <w:r w:rsidDel="00000000" w:rsidR="00000000" w:rsidRPr="00000000">
              <w:rPr>
                <w:rtl w:val="0"/>
              </w:rPr>
              <w:t xml:space="preserve">P&amp;G</w:t>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John Hone</w:t>
            </w:r>
          </w:p>
        </w:tc>
        <w:tc>
          <w:tcPr/>
          <w:p w:rsidR="00000000" w:rsidDel="00000000" w:rsidP="00000000" w:rsidRDefault="00000000" w:rsidRPr="00000000" w14:paraId="00000045">
            <w:pPr>
              <w:rPr/>
            </w:pPr>
            <w:r w:rsidDel="00000000" w:rsidR="00000000" w:rsidRPr="00000000">
              <w:rPr>
                <w:rtl w:val="0"/>
              </w:rPr>
              <w:t xml:space="preserve">Syngenta</w:t>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Erin Koos</w:t>
            </w:r>
          </w:p>
        </w:tc>
        <w:tc>
          <w:tcPr/>
          <w:p w:rsidR="00000000" w:rsidDel="00000000" w:rsidP="00000000" w:rsidRDefault="00000000" w:rsidRPr="00000000" w14:paraId="00000047">
            <w:pPr>
              <w:rPr/>
            </w:pPr>
            <w:r w:rsidDel="00000000" w:rsidR="00000000" w:rsidRPr="00000000">
              <w:rPr>
                <w:rtl w:val="0"/>
              </w:rPr>
              <w:t xml:space="preserve">Ku Leuven</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Michael Juhnke</w:t>
            </w:r>
          </w:p>
        </w:tc>
        <w:tc>
          <w:tcPr/>
          <w:p w:rsidR="00000000" w:rsidDel="00000000" w:rsidP="00000000" w:rsidRDefault="00000000" w:rsidRPr="00000000" w14:paraId="00000049">
            <w:pPr>
              <w:rPr/>
            </w:pPr>
            <w:r w:rsidDel="00000000" w:rsidR="00000000" w:rsidRPr="00000000">
              <w:rPr>
                <w:rtl w:val="0"/>
              </w:rPr>
              <w:t xml:space="preserve">Roche</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Sarah David</w:t>
            </w:r>
          </w:p>
        </w:tc>
        <w:tc>
          <w:tcPr/>
          <w:p w:rsidR="00000000" w:rsidDel="00000000" w:rsidP="00000000" w:rsidRDefault="00000000" w:rsidRPr="00000000" w14:paraId="0000004B">
            <w:pPr>
              <w:rPr/>
            </w:pPr>
            <w:r w:rsidDel="00000000" w:rsidR="00000000" w:rsidRPr="00000000">
              <w:rPr>
                <w:rtl w:val="0"/>
              </w:rPr>
              <w:t xml:space="preserve">Novartis</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tabs>
        <w:tab w:val="left" w:leader="none" w:pos="3480"/>
        <w:tab w:val="left" w:leader="none" w:pos="3645"/>
      </w:tabs>
      <w:rPr/>
    </w:pPr>
    <w:r w:rsidDel="00000000" w:rsidR="00000000" w:rsidRPr="00000000">
      <w:rPr>
        <w:rtl w:val="0"/>
      </w:rPr>
      <w:tab/>
      <w:t xml:space="preserve">Template v.1.0 - RB</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Title used in meeting agendas and file archives</w:t>
      </w:r>
    </w:p>
  </w:footnote>
  <w:footnote w:id="1">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One or more from the following list:  W = wet systems; D = dry systems; F = particle formation; SR = size reduction; M = modeling; SE = systems engineering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center"/>
      <w:rPr>
        <w:b w:val="1"/>
        <w:smallCaps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center"/>
      <w:rPr>
        <w:b w:val="1"/>
        <w:smallCaps w:val="1"/>
        <w:sz w:val="28"/>
        <w:szCs w:val="28"/>
      </w:rPr>
    </w:pPr>
    <w:r w:rsidDel="00000000" w:rsidR="00000000" w:rsidRPr="00000000">
      <w:rPr>
        <w:b w:val="1"/>
        <w:smallCaps w:val="1"/>
        <w:sz w:val="28"/>
        <w:szCs w:val="28"/>
      </w:rPr>
      <w:drawing>
        <wp:inline distB="0" distT="0" distL="0" distR="0">
          <wp:extent cx="1620476" cy="684827"/>
          <wp:effectExtent b="0" l="0" r="0" t="0"/>
          <wp:docPr descr="C:\Users\Home\Google Drive\IFPRI\Logos\newlogov1.jpg" id="3" name="image1.jpg"/>
          <a:graphic>
            <a:graphicData uri="http://schemas.openxmlformats.org/drawingml/2006/picture">
              <pic:pic>
                <pic:nvPicPr>
                  <pic:cNvPr descr="C:\Users\Home\Google Drive\IFPRI\Logos\newlogov1.jpg" id="0" name="image1.jpg"/>
                  <pic:cNvPicPr preferRelativeResize="0"/>
                </pic:nvPicPr>
                <pic:blipFill>
                  <a:blip r:embed="rId1"/>
                  <a:srcRect b="0" l="0" r="0" t="0"/>
                  <a:stretch>
                    <a:fillRect/>
                  </a:stretch>
                </pic:blipFill>
                <pic:spPr>
                  <a:xfrm>
                    <a:off x="0" y="0"/>
                    <a:ext cx="1620476" cy="684827"/>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center"/>
      <w:rPr>
        <w:b w:val="1"/>
        <w:smallCaps w:val="1"/>
        <w:sz w:val="28"/>
        <w:szCs w:val="28"/>
      </w:rPr>
    </w:pPr>
    <w:r w:rsidDel="00000000" w:rsidR="00000000" w:rsidRPr="00000000">
      <w:rPr>
        <w:b w:val="1"/>
        <w:smallCaps w:val="1"/>
        <w:sz w:val="28"/>
        <w:szCs w:val="28"/>
        <w:rtl w:val="0"/>
      </w:rPr>
      <w:t xml:space="preserve">IFPRI  Brief Template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styleId="FootnoteTextChar" w:customStyle="1">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A5EB1"/>
    <w:pPr>
      <w:ind w:left="720"/>
      <w:contextualSpacing w:val="1"/>
    </w:pPr>
  </w:style>
  <w:style w:type="character" w:styleId="Hyperlink">
    <w:name w:val="Hyperlink"/>
    <w:basedOn w:val="DefaultParagraphFont"/>
    <w:rsid w:val="003F7A7D"/>
    <w:rPr>
      <w:color w:val="0563c1" w:themeColor="hyperlink"/>
      <w:u w:val="single"/>
    </w:rPr>
  </w:style>
  <w:style w:type="character" w:styleId="UnresolvedMention">
    <w:name w:val="Unresolved Mention"/>
    <w:basedOn w:val="DefaultParagraphFont"/>
    <w:uiPriority w:val="99"/>
    <w:semiHidden w:val="1"/>
    <w:unhideWhenUsed w:val="1"/>
    <w:rsid w:val="003F7A7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pBHlR47+sfUcNqxC24QCTUhtA==">CgMxLjA4AHIhMTg4NlBJcjhNOElNeWR6ZHFMSXR4ZWg3TmNtVnRGdE1R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2025-06-17T17:02:00Z</dcterms:created>
  <dc:creator>Boerefijn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