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C54CB" w14:textId="10037DCE" w:rsidR="00854B50" w:rsidRDefault="00854B50"/>
    <w:p w14:paraId="3B6A7B1B" w14:textId="7176252F" w:rsidR="00871D3A" w:rsidRDefault="00347B31" w:rsidP="00347B31">
      <w:pPr>
        <w:ind w:right="-180"/>
        <w:rPr>
          <w:b/>
          <w:bCs/>
        </w:rPr>
      </w:pPr>
      <w:r w:rsidRPr="00347B31">
        <w:rPr>
          <w:b/>
          <w:bCs/>
        </w:rPr>
        <w:t>Check One:</w:t>
      </w:r>
      <w:r w:rsidR="00871D3A">
        <w:rPr>
          <w:b/>
          <w:bCs/>
        </w:rPr>
        <w:t xml:space="preserve"> </w:t>
      </w:r>
      <w:r w:rsidRPr="00347B31">
        <w:rPr>
          <w:b/>
          <w:bCs/>
        </w:rPr>
        <w:t xml:space="preserve">   </w:t>
      </w:r>
      <w:sdt>
        <w:sdtPr>
          <w:rPr>
            <w:b/>
            <w:bCs/>
          </w:rPr>
          <w:id w:val="-19054399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8B">
            <w:rPr>
              <w:rFonts w:ascii="MS Gothic" w:eastAsia="MS Gothic" w:hAnsi="MS Gothic" w:hint="eastAsia"/>
              <w:b/>
              <w:bCs/>
            </w:rPr>
            <w:t>☒</w:t>
          </w:r>
        </w:sdtContent>
      </w:sdt>
      <w:r w:rsidRPr="00347B31">
        <w:rPr>
          <w:b/>
          <w:bCs/>
        </w:rPr>
        <w:t>Project</w:t>
      </w: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143517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7B3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Review</w:t>
      </w:r>
      <w:r w:rsidR="00871D3A">
        <w:rPr>
          <w:b/>
          <w:bCs/>
        </w:rPr>
        <w:tab/>
      </w:r>
      <w:r w:rsidR="00871D3A">
        <w:rPr>
          <w:b/>
          <w:bCs/>
        </w:rPr>
        <w:tab/>
      </w:r>
      <w:sdt>
        <w:sdtPr>
          <w:rPr>
            <w:b/>
            <w:bCs/>
          </w:rPr>
          <w:id w:val="74076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D3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71D3A">
        <w:rPr>
          <w:b/>
          <w:bCs/>
        </w:rPr>
        <w:t>Collaboration</w:t>
      </w:r>
    </w:p>
    <w:p w14:paraId="07071387" w14:textId="769C0E7B" w:rsidR="00347B31" w:rsidRPr="00347B31" w:rsidRDefault="00347B31" w:rsidP="00347B31">
      <w:pPr>
        <w:ind w:right="-180"/>
        <w:rPr>
          <w:b/>
          <w:bCs/>
        </w:rPr>
      </w:pP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66467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D3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Workshop</w:t>
      </w: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115025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7B3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Other</w:t>
      </w:r>
    </w:p>
    <w:p w14:paraId="01E504A8" w14:textId="77777777" w:rsidR="00347B31" w:rsidRDefault="00347B31" w:rsidP="00347B31">
      <w:pPr>
        <w:ind w:right="-90"/>
      </w:pPr>
    </w:p>
    <w:p w14:paraId="6E98E0CD" w14:textId="77777777" w:rsidR="00BD035A" w:rsidRDefault="00BD035A"/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5"/>
        <w:gridCol w:w="6840"/>
      </w:tblGrid>
      <w:tr w:rsidR="001D3FB6" w14:paraId="2D11C098" w14:textId="77777777" w:rsidTr="00347B31">
        <w:tc>
          <w:tcPr>
            <w:tcW w:w="2065" w:type="dxa"/>
          </w:tcPr>
          <w:p w14:paraId="563D7984" w14:textId="7528FAF5" w:rsidR="001D3FB6" w:rsidRPr="00347B31" w:rsidRDefault="00347B31" w:rsidP="005F5F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Descriptive </w:t>
            </w:r>
            <w:r w:rsidR="001D3FB6" w:rsidRPr="00347B31">
              <w:rPr>
                <w:b/>
                <w:bCs/>
              </w:rPr>
              <w:t>Title</w:t>
            </w:r>
          </w:p>
        </w:tc>
        <w:tc>
          <w:tcPr>
            <w:tcW w:w="6840" w:type="dxa"/>
          </w:tcPr>
          <w:p w14:paraId="0F6B93CC" w14:textId="02B432AB" w:rsidR="001D3FB6" w:rsidRDefault="00A2438B" w:rsidP="005F5F65">
            <w:r>
              <w:t>Secondary Nucleation Mechanism Assessment in Crystallisation Processes</w:t>
            </w:r>
          </w:p>
        </w:tc>
      </w:tr>
      <w:tr w:rsidR="001D3FB6" w14:paraId="5FB32EC1" w14:textId="77777777" w:rsidTr="00347B31">
        <w:tc>
          <w:tcPr>
            <w:tcW w:w="2065" w:type="dxa"/>
          </w:tcPr>
          <w:p w14:paraId="7A7A3D73" w14:textId="70B50151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Working Title</w:t>
            </w:r>
            <w:r w:rsidR="00347B31">
              <w:rPr>
                <w:rStyle w:val="FootnoteReference"/>
                <w:b/>
                <w:bCs/>
              </w:rPr>
              <w:footnoteReference w:id="1"/>
            </w:r>
          </w:p>
        </w:tc>
        <w:tc>
          <w:tcPr>
            <w:tcW w:w="6840" w:type="dxa"/>
          </w:tcPr>
          <w:p w14:paraId="3E9470AB" w14:textId="11A67C05" w:rsidR="001D3FB6" w:rsidRDefault="00A2438B" w:rsidP="005F5F65">
            <w:r>
              <w:t>Assessing Secondary Nucleation</w:t>
            </w:r>
          </w:p>
        </w:tc>
      </w:tr>
      <w:tr w:rsidR="001D3FB6" w14:paraId="49744218" w14:textId="77777777" w:rsidTr="00347B31">
        <w:tc>
          <w:tcPr>
            <w:tcW w:w="2065" w:type="dxa"/>
          </w:tcPr>
          <w:p w14:paraId="6D9F9606" w14:textId="77777777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Technical Area</w:t>
            </w:r>
            <w:r w:rsidRPr="00347B31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6840" w:type="dxa"/>
          </w:tcPr>
          <w:p w14:paraId="1E4B4A76" w14:textId="78C1184E" w:rsidR="001D3FB6" w:rsidRDefault="003F78CD" w:rsidP="005F5F65">
            <w:r>
              <w:t xml:space="preserve">Particle </w:t>
            </w:r>
            <w:r w:rsidR="00A2438B">
              <w:t>Formation</w:t>
            </w:r>
          </w:p>
        </w:tc>
      </w:tr>
      <w:tr w:rsidR="001D3FB6" w14:paraId="743EC9EA" w14:textId="77777777" w:rsidTr="00347B31">
        <w:tc>
          <w:tcPr>
            <w:tcW w:w="2065" w:type="dxa"/>
          </w:tcPr>
          <w:p w14:paraId="4C7EF24F" w14:textId="621BACB1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Date</w:t>
            </w:r>
          </w:p>
        </w:tc>
        <w:tc>
          <w:tcPr>
            <w:tcW w:w="6840" w:type="dxa"/>
          </w:tcPr>
          <w:p w14:paraId="3D229F1C" w14:textId="54397C41" w:rsidR="001D3FB6" w:rsidRDefault="00A2438B" w:rsidP="005F5F65">
            <w:r>
              <w:t>16</w:t>
            </w:r>
            <w:r w:rsidRPr="00A2438B">
              <w:rPr>
                <w:vertAlign w:val="superscript"/>
              </w:rPr>
              <w:t>th</w:t>
            </w:r>
            <w:r>
              <w:t xml:space="preserve"> June 2025</w:t>
            </w:r>
          </w:p>
        </w:tc>
      </w:tr>
      <w:tr w:rsidR="001D3FB6" w14:paraId="415F26C3" w14:textId="77777777" w:rsidTr="00347B31">
        <w:tc>
          <w:tcPr>
            <w:tcW w:w="2065" w:type="dxa"/>
          </w:tcPr>
          <w:p w14:paraId="10F45830" w14:textId="37F70D96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Short Description</w:t>
            </w:r>
          </w:p>
        </w:tc>
        <w:tc>
          <w:tcPr>
            <w:tcW w:w="6840" w:type="dxa"/>
          </w:tcPr>
          <w:p w14:paraId="08E7D83C" w14:textId="39003A39" w:rsidR="001D3FB6" w:rsidRDefault="000B4D24" w:rsidP="005F5F65">
            <w:r>
              <w:t xml:space="preserve">There are </w:t>
            </w:r>
            <w:r w:rsidR="003F78CD">
              <w:t>several</w:t>
            </w:r>
            <w:r>
              <w:t xml:space="preserve"> models for secondary nucleation </w:t>
            </w:r>
            <w:r w:rsidR="0024675E">
              <w:t xml:space="preserve">(SN) </w:t>
            </w:r>
            <w:r>
              <w:t>processes</w:t>
            </w:r>
            <w:r w:rsidR="00391471">
              <w:t xml:space="preserve">, but assessment of the parameters is frequently confounded by the </w:t>
            </w:r>
            <w:r w:rsidR="0024675E">
              <w:t>simultaneous presence of other processes, including crystal growth, attrition and agglomeration. Additionally, the SN rate process can</w:t>
            </w:r>
            <w:r w:rsidR="00391471">
              <w:t xml:space="preserve"> </w:t>
            </w:r>
            <w:r w:rsidR="0024675E">
              <w:t xml:space="preserve">depend on </w:t>
            </w:r>
            <w:r w:rsidR="003B0C88">
              <w:t>supersaturation</w:t>
            </w:r>
            <w:r w:rsidR="0024675E">
              <w:t xml:space="preserve"> or</w:t>
            </w:r>
            <w:r w:rsidR="00F60DAE">
              <w:t>,</w:t>
            </w:r>
            <w:r w:rsidR="0024675E">
              <w:t xml:space="preserve"> in the case of attrition</w:t>
            </w:r>
            <w:r w:rsidR="00F60DAE">
              <w:t>,</w:t>
            </w:r>
            <w:r w:rsidR="0024675E">
              <w:t xml:space="preserve"> </w:t>
            </w:r>
            <w:r w:rsidR="00F60DAE">
              <w:t>on</w:t>
            </w:r>
            <w:r w:rsidR="0024675E">
              <w:t xml:space="preserve"> particle size</w:t>
            </w:r>
            <w:r w:rsidR="003B0C88">
              <w:t>.  Currently</w:t>
            </w:r>
            <w:r w:rsidR="00C24828">
              <w:t xml:space="preserve">, for each new system (including solvent changes) </w:t>
            </w:r>
            <w:r w:rsidR="003B0C88">
              <w:t>it is time consuming and no</w:t>
            </w:r>
            <w:r w:rsidR="00F60DAE">
              <w:t>n-</w:t>
            </w:r>
            <w:r w:rsidR="00C72D6C">
              <w:t xml:space="preserve">trivial to determine the </w:t>
            </w:r>
            <w:r w:rsidR="00F60DAE">
              <w:t xml:space="preserve">appropriate </w:t>
            </w:r>
            <w:proofErr w:type="gramStart"/>
            <w:r w:rsidR="00C72D6C">
              <w:t>model</w:t>
            </w:r>
            <w:r w:rsidR="00C24828">
              <w:t>,</w:t>
            </w:r>
            <w:r w:rsidR="00C72D6C">
              <w:t xml:space="preserve"> and</w:t>
            </w:r>
            <w:proofErr w:type="gramEnd"/>
            <w:r w:rsidR="00C72D6C">
              <w:t xml:space="preserve"> generate suitable parameter</w:t>
            </w:r>
            <w:r w:rsidR="00C24828">
              <w:t>s</w:t>
            </w:r>
            <w:r w:rsidR="00C72D6C">
              <w:t xml:space="preserve"> for implementation in a population balance model (such as in </w:t>
            </w:r>
            <w:proofErr w:type="spellStart"/>
            <w:r w:rsidR="00C72D6C">
              <w:t>gPROMS</w:t>
            </w:r>
            <w:proofErr w:type="spellEnd"/>
            <w:r w:rsidR="00C72D6C">
              <w:t>).</w:t>
            </w:r>
          </w:p>
        </w:tc>
      </w:tr>
      <w:tr w:rsidR="001D3FB6" w14:paraId="1E353A3B" w14:textId="77777777" w:rsidTr="00347B31">
        <w:tc>
          <w:tcPr>
            <w:tcW w:w="2065" w:type="dxa"/>
          </w:tcPr>
          <w:p w14:paraId="5CDCE3F1" w14:textId="32337613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Objectives</w:t>
            </w:r>
          </w:p>
        </w:tc>
        <w:tc>
          <w:tcPr>
            <w:tcW w:w="6840" w:type="dxa"/>
          </w:tcPr>
          <w:p w14:paraId="39645EB3" w14:textId="60BB7A5B" w:rsidR="001D3FB6" w:rsidRDefault="00650281" w:rsidP="00650281">
            <w:pPr>
              <w:pStyle w:val="ListParagraph"/>
              <w:numPr>
                <w:ilvl w:val="0"/>
                <w:numId w:val="6"/>
              </w:numPr>
            </w:pPr>
            <w:r>
              <w:t xml:space="preserve">Design a protocol to determine </w:t>
            </w:r>
            <w:r w:rsidR="00943562">
              <w:t xml:space="preserve">the presence or absence of </w:t>
            </w:r>
            <w:r w:rsidR="00692040">
              <w:t>secondary</w:t>
            </w:r>
            <w:r>
              <w:t xml:space="preserve"> nucleation mechanism (or mechanisms)</w:t>
            </w:r>
            <w:r w:rsidR="00943562">
              <w:t xml:space="preserve"> occurring in a crystallization process</w:t>
            </w:r>
            <w:r w:rsidR="00692040">
              <w:t>.</w:t>
            </w:r>
          </w:p>
          <w:p w14:paraId="043DC190" w14:textId="70CAFCD7" w:rsidR="005D54ED" w:rsidRDefault="005D54ED" w:rsidP="00650281">
            <w:pPr>
              <w:pStyle w:val="ListParagraph"/>
              <w:numPr>
                <w:ilvl w:val="0"/>
                <w:numId w:val="6"/>
              </w:numPr>
            </w:pPr>
            <w:r>
              <w:t xml:space="preserve">Ensure the </w:t>
            </w:r>
            <w:r w:rsidR="00B54630">
              <w:t xml:space="preserve">competing mechanisms such as growth, </w:t>
            </w:r>
            <w:r w:rsidR="00B54630" w:rsidRPr="000810CF">
              <w:rPr>
                <w:i/>
                <w:iCs/>
              </w:rPr>
              <w:t>etc.</w:t>
            </w:r>
            <w:r w:rsidR="00B54630">
              <w:rPr>
                <w:i/>
                <w:iCs/>
              </w:rPr>
              <w:t xml:space="preserve"> </w:t>
            </w:r>
            <w:r w:rsidR="00B54630">
              <w:t>are deconvoluted.</w:t>
            </w:r>
          </w:p>
          <w:p w14:paraId="21218698" w14:textId="0B4A643A" w:rsidR="00692040" w:rsidRDefault="00A7397E" w:rsidP="00650281">
            <w:pPr>
              <w:pStyle w:val="ListParagraph"/>
              <w:numPr>
                <w:ilvl w:val="0"/>
                <w:numId w:val="6"/>
              </w:numPr>
            </w:pPr>
            <w:r>
              <w:t xml:space="preserve">Find a means to rapidly assess the optimal model(s) and </w:t>
            </w:r>
            <w:r w:rsidR="005D54ED">
              <w:t>approximate values for parameterising the model for PBM.</w:t>
            </w:r>
            <w:r>
              <w:t xml:space="preserve"> </w:t>
            </w:r>
          </w:p>
        </w:tc>
      </w:tr>
      <w:tr w:rsidR="001D3FB6" w14:paraId="030F4407" w14:textId="77777777" w:rsidTr="00347B31">
        <w:tc>
          <w:tcPr>
            <w:tcW w:w="2065" w:type="dxa"/>
          </w:tcPr>
          <w:p w14:paraId="74AC7E09" w14:textId="2ACEF16F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Scope</w:t>
            </w:r>
          </w:p>
        </w:tc>
        <w:tc>
          <w:tcPr>
            <w:tcW w:w="6840" w:type="dxa"/>
          </w:tcPr>
          <w:p w14:paraId="616B49BA" w14:textId="67ACBA07" w:rsidR="001D3FB6" w:rsidRDefault="00024EEB" w:rsidP="005F5F65">
            <w:r>
              <w:t>In</w:t>
            </w:r>
            <w:r w:rsidR="00B15E04">
              <w:t>-</w:t>
            </w:r>
            <w:r>
              <w:t xml:space="preserve">process </w:t>
            </w:r>
            <w:r w:rsidR="00B15E04">
              <w:t xml:space="preserve">analysis (PAT) </w:t>
            </w:r>
            <w:r>
              <w:t>would be preferable but b</w:t>
            </w:r>
            <w:r w:rsidR="00312451">
              <w:t xml:space="preserve">espoke offline experimentation is </w:t>
            </w:r>
            <w:r>
              <w:t xml:space="preserve">also </w:t>
            </w:r>
            <w:r w:rsidR="00312451">
              <w:t>in scope.</w:t>
            </w:r>
          </w:p>
          <w:p w14:paraId="186C052D" w14:textId="75A28583" w:rsidR="00312451" w:rsidRDefault="00312451" w:rsidP="005F5F65"/>
        </w:tc>
      </w:tr>
    </w:tbl>
    <w:p w14:paraId="5C4A30F0" w14:textId="77777777" w:rsidR="001D3FB6" w:rsidRDefault="001D3FB6"/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7"/>
        <w:gridCol w:w="2934"/>
        <w:gridCol w:w="3044"/>
      </w:tblGrid>
      <w:tr w:rsidR="001D3FB6" w:rsidRPr="00347B31" w14:paraId="7EF82E2A" w14:textId="77777777" w:rsidTr="00DB2586">
        <w:tc>
          <w:tcPr>
            <w:tcW w:w="8905" w:type="dxa"/>
            <w:gridSpan w:val="3"/>
          </w:tcPr>
          <w:p w14:paraId="28E54797" w14:textId="2AFF7750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Recommended Contractors</w:t>
            </w:r>
            <w:r w:rsidR="00871D3A">
              <w:rPr>
                <w:b/>
                <w:bCs/>
              </w:rPr>
              <w:t xml:space="preserve"> (2 or 3)</w:t>
            </w:r>
          </w:p>
        </w:tc>
      </w:tr>
      <w:tr w:rsidR="001D3FB6" w:rsidRPr="00347B31" w14:paraId="5AE30393" w14:textId="77777777" w:rsidTr="00C80C0C">
        <w:tc>
          <w:tcPr>
            <w:tcW w:w="2968" w:type="dxa"/>
          </w:tcPr>
          <w:p w14:paraId="24ED7389" w14:textId="477E2684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Name</w:t>
            </w:r>
            <w:r w:rsidR="00100B39">
              <w:rPr>
                <w:b/>
                <w:bCs/>
              </w:rPr>
              <w:t>*</w:t>
            </w:r>
          </w:p>
        </w:tc>
        <w:tc>
          <w:tcPr>
            <w:tcW w:w="2968" w:type="dxa"/>
          </w:tcPr>
          <w:p w14:paraId="44760851" w14:textId="66EEED59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Institution</w:t>
            </w:r>
          </w:p>
        </w:tc>
        <w:tc>
          <w:tcPr>
            <w:tcW w:w="2969" w:type="dxa"/>
          </w:tcPr>
          <w:p w14:paraId="65431E01" w14:textId="4652AB3B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Email Address</w:t>
            </w:r>
          </w:p>
        </w:tc>
      </w:tr>
      <w:tr w:rsidR="001D3FB6" w:rsidRPr="00B15E04" w14:paraId="222B4318" w14:textId="77777777" w:rsidTr="00C80C0C">
        <w:tc>
          <w:tcPr>
            <w:tcW w:w="2968" w:type="dxa"/>
          </w:tcPr>
          <w:p w14:paraId="345B9B46" w14:textId="002F9249" w:rsidR="001D3FB6" w:rsidRDefault="000F2A29" w:rsidP="001D3FB6">
            <w:r>
              <w:t>Botond</w:t>
            </w:r>
            <w:r w:rsidR="0009340C">
              <w:t xml:space="preserve"> </w:t>
            </w:r>
            <w:r w:rsidR="0009340C" w:rsidRPr="0009340C">
              <w:t>Szilagyi</w:t>
            </w:r>
          </w:p>
        </w:tc>
        <w:tc>
          <w:tcPr>
            <w:tcW w:w="2968" w:type="dxa"/>
          </w:tcPr>
          <w:p w14:paraId="39609EB4" w14:textId="16C3F862" w:rsidR="001D3FB6" w:rsidRDefault="0009340C" w:rsidP="001D3FB6">
            <w:r w:rsidRPr="0009340C">
              <w:t>Budapest University of Technology and Economics</w:t>
            </w:r>
          </w:p>
        </w:tc>
        <w:tc>
          <w:tcPr>
            <w:tcW w:w="2969" w:type="dxa"/>
          </w:tcPr>
          <w:p w14:paraId="4AB523CD" w14:textId="5250491D" w:rsidR="001D3FB6" w:rsidRPr="00B15E04" w:rsidRDefault="002E1EFE" w:rsidP="001D3FB6">
            <w:hyperlink r:id="rId8" w:tgtFrame="_blank" w:history="1">
              <w:r w:rsidRPr="00B15E04">
                <w:rPr>
                  <w:rStyle w:val="Hyperlink"/>
                </w:rPr>
                <w:t>szilagyi.botond@vbk.bme.hu</w:t>
              </w:r>
            </w:hyperlink>
          </w:p>
        </w:tc>
      </w:tr>
      <w:tr w:rsidR="001D3FB6" w14:paraId="0ED652E0" w14:textId="77777777" w:rsidTr="00C80C0C">
        <w:tc>
          <w:tcPr>
            <w:tcW w:w="2968" w:type="dxa"/>
          </w:tcPr>
          <w:p w14:paraId="1C0A4521" w14:textId="08469015" w:rsidR="001D3FB6" w:rsidRDefault="0076156B" w:rsidP="001D3FB6">
            <w:r>
              <w:t>Luca Bosetti</w:t>
            </w:r>
          </w:p>
        </w:tc>
        <w:tc>
          <w:tcPr>
            <w:tcW w:w="2968" w:type="dxa"/>
          </w:tcPr>
          <w:p w14:paraId="510AB6C3" w14:textId="728D0052" w:rsidR="001D3FB6" w:rsidRDefault="0076156B" w:rsidP="001D3FB6">
            <w:r>
              <w:t>ETH Zurich</w:t>
            </w:r>
          </w:p>
        </w:tc>
        <w:tc>
          <w:tcPr>
            <w:tcW w:w="2969" w:type="dxa"/>
          </w:tcPr>
          <w:p w14:paraId="23124463" w14:textId="2EC8FC24" w:rsidR="00B15E04" w:rsidRDefault="00B15E04" w:rsidP="00B15E04">
            <w:hyperlink r:id="rId9" w:history="1">
              <w:r w:rsidRPr="00CE14CF">
                <w:rPr>
                  <w:rStyle w:val="Hyperlink"/>
                </w:rPr>
                <w:t>bosettil@ethz.ch</w:t>
              </w:r>
            </w:hyperlink>
          </w:p>
        </w:tc>
      </w:tr>
      <w:tr w:rsidR="001D3FB6" w14:paraId="5B7C46AE" w14:textId="77777777" w:rsidTr="00C80C0C">
        <w:tc>
          <w:tcPr>
            <w:tcW w:w="2968" w:type="dxa"/>
          </w:tcPr>
          <w:p w14:paraId="56458A7C" w14:textId="0C408CC4" w:rsidR="001D3FB6" w:rsidRDefault="00100B39" w:rsidP="001D3FB6">
            <w:r>
              <w:t>Elena Simone</w:t>
            </w:r>
          </w:p>
        </w:tc>
        <w:tc>
          <w:tcPr>
            <w:tcW w:w="2968" w:type="dxa"/>
          </w:tcPr>
          <w:p w14:paraId="44DE91DC" w14:textId="0F9219DF" w:rsidR="001D3FB6" w:rsidRDefault="00100B39" w:rsidP="001D3FB6">
            <w:r w:rsidRPr="00100B39">
              <w:t>Department of Applied Science and Technology (DISAT)</w:t>
            </w:r>
            <w:r>
              <w:t>, Turin</w:t>
            </w:r>
          </w:p>
        </w:tc>
        <w:tc>
          <w:tcPr>
            <w:tcW w:w="2969" w:type="dxa"/>
          </w:tcPr>
          <w:p w14:paraId="298E8475" w14:textId="53EE7B5F" w:rsidR="001D3FB6" w:rsidRDefault="00100B39" w:rsidP="001D3FB6">
            <w:hyperlink r:id="rId10" w:history="1">
              <w:r w:rsidRPr="00100B39">
                <w:rPr>
                  <w:rStyle w:val="Hyperlink"/>
                </w:rPr>
                <w:t>elena.simone@polito.it</w:t>
              </w:r>
            </w:hyperlink>
          </w:p>
        </w:tc>
      </w:tr>
    </w:tbl>
    <w:p w14:paraId="46A4C451" w14:textId="3A0C2E32" w:rsidR="00BD035A" w:rsidRDefault="00BD035A"/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4315"/>
        <w:gridCol w:w="4590"/>
      </w:tblGrid>
      <w:tr w:rsidR="001D3FB6" w:rsidRPr="00347B31" w14:paraId="0574AEF8" w14:textId="77777777" w:rsidTr="001D3FB6">
        <w:tc>
          <w:tcPr>
            <w:tcW w:w="8905" w:type="dxa"/>
            <w:gridSpan w:val="2"/>
          </w:tcPr>
          <w:p w14:paraId="346AEF8C" w14:textId="3B63C5EF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Submitted By:</w:t>
            </w:r>
          </w:p>
        </w:tc>
      </w:tr>
      <w:tr w:rsidR="001D3FB6" w:rsidRPr="00347B31" w14:paraId="72EC03A4" w14:textId="77777777" w:rsidTr="001D3FB6">
        <w:tc>
          <w:tcPr>
            <w:tcW w:w="4315" w:type="dxa"/>
          </w:tcPr>
          <w:p w14:paraId="70EBBDC3" w14:textId="646CCCF9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Name</w:t>
            </w:r>
          </w:p>
        </w:tc>
        <w:tc>
          <w:tcPr>
            <w:tcW w:w="4590" w:type="dxa"/>
          </w:tcPr>
          <w:p w14:paraId="1EDBD7A1" w14:textId="43125045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Organization</w:t>
            </w:r>
          </w:p>
        </w:tc>
      </w:tr>
      <w:tr w:rsidR="001D3FB6" w14:paraId="46409F34" w14:textId="77777777" w:rsidTr="001D3FB6">
        <w:tc>
          <w:tcPr>
            <w:tcW w:w="4315" w:type="dxa"/>
          </w:tcPr>
          <w:p w14:paraId="6F026A81" w14:textId="637ADF45" w:rsidR="001D3FB6" w:rsidRDefault="00201342">
            <w:r>
              <w:t>John Hone</w:t>
            </w:r>
          </w:p>
        </w:tc>
        <w:tc>
          <w:tcPr>
            <w:tcW w:w="4590" w:type="dxa"/>
          </w:tcPr>
          <w:p w14:paraId="4ABCC0E3" w14:textId="00316507" w:rsidR="00201342" w:rsidRDefault="00201342" w:rsidP="00484118">
            <w:r>
              <w:t>Syngenta</w:t>
            </w:r>
          </w:p>
        </w:tc>
      </w:tr>
      <w:tr w:rsidR="001D3FB6" w14:paraId="273EF9B5" w14:textId="77777777" w:rsidTr="001D3FB6">
        <w:tc>
          <w:tcPr>
            <w:tcW w:w="4315" w:type="dxa"/>
          </w:tcPr>
          <w:p w14:paraId="7AFB058E" w14:textId="2C061076" w:rsidR="001D3FB6" w:rsidRDefault="00E21CFC">
            <w:r>
              <w:t>Pieter Vonk</w:t>
            </w:r>
          </w:p>
        </w:tc>
        <w:tc>
          <w:tcPr>
            <w:tcW w:w="4590" w:type="dxa"/>
          </w:tcPr>
          <w:p w14:paraId="0B1106CF" w14:textId="1650E782" w:rsidR="001D3FB6" w:rsidRDefault="00E21CFC">
            <w:r>
              <w:t>Envalior</w:t>
            </w:r>
          </w:p>
        </w:tc>
      </w:tr>
      <w:tr w:rsidR="001D3FB6" w14:paraId="7010B124" w14:textId="77777777" w:rsidTr="001D3FB6">
        <w:tc>
          <w:tcPr>
            <w:tcW w:w="4315" w:type="dxa"/>
          </w:tcPr>
          <w:p w14:paraId="40ED787B" w14:textId="77777777" w:rsidR="001D3FB6" w:rsidRDefault="001D3FB6"/>
        </w:tc>
        <w:tc>
          <w:tcPr>
            <w:tcW w:w="4590" w:type="dxa"/>
          </w:tcPr>
          <w:p w14:paraId="7133ECCF" w14:textId="77777777" w:rsidR="001D3FB6" w:rsidRDefault="001D3FB6"/>
        </w:tc>
      </w:tr>
    </w:tbl>
    <w:p w14:paraId="46063609" w14:textId="77777777" w:rsidR="00BD035A" w:rsidRDefault="00BD035A"/>
    <w:p w14:paraId="1E570A3D" w14:textId="027E6F3D" w:rsidR="00100B39" w:rsidRDefault="00100B39">
      <w:r>
        <w:t>*Jim, if this gets through Pieter and I will discuss which two to request proposals from.</w:t>
      </w:r>
    </w:p>
    <w:p w14:paraId="44CDA612" w14:textId="77777777" w:rsidR="00E458AF" w:rsidRDefault="00E458AF"/>
    <w:sectPr w:rsidR="00E458AF" w:rsidSect="00854B50">
      <w:headerReference w:type="default" r:id="rId11"/>
      <w:footerReference w:type="default" r:id="rId12"/>
      <w:head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676C5" w14:textId="77777777" w:rsidR="00D855C4" w:rsidRDefault="00D855C4">
      <w:r>
        <w:separator/>
      </w:r>
    </w:p>
  </w:endnote>
  <w:endnote w:type="continuationSeparator" w:id="0">
    <w:p w14:paraId="0B798229" w14:textId="77777777" w:rsidR="00D855C4" w:rsidRDefault="00D8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2017D" w14:textId="77777777" w:rsidR="009454FC" w:rsidRDefault="009454FC">
    <w:pPr>
      <w:tabs>
        <w:tab w:val="left" w:pos="3480"/>
        <w:tab w:val="left" w:pos="3645"/>
      </w:tabs>
    </w:pPr>
    <w:r>
      <w:tab/>
      <w:t>Template v.1.0 - RB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D7BB8" w14:textId="77777777" w:rsidR="00D855C4" w:rsidRDefault="00D855C4">
      <w:r>
        <w:separator/>
      </w:r>
    </w:p>
  </w:footnote>
  <w:footnote w:type="continuationSeparator" w:id="0">
    <w:p w14:paraId="57E4A040" w14:textId="77777777" w:rsidR="00D855C4" w:rsidRDefault="00D855C4">
      <w:r>
        <w:continuationSeparator/>
      </w:r>
    </w:p>
  </w:footnote>
  <w:footnote w:id="1">
    <w:p w14:paraId="6B006640" w14:textId="2819BD1E" w:rsidR="00347B31" w:rsidRDefault="00347B31">
      <w:pPr>
        <w:pStyle w:val="FootnoteText"/>
      </w:pPr>
      <w:r>
        <w:rPr>
          <w:rStyle w:val="FootnoteReference"/>
        </w:rPr>
        <w:footnoteRef/>
      </w:r>
      <w:r>
        <w:t xml:space="preserve"> Title used in meeting agendas and file archives</w:t>
      </w:r>
    </w:p>
  </w:footnote>
  <w:footnote w:id="2">
    <w:p w14:paraId="306C57E9" w14:textId="77777777" w:rsidR="001D3FB6" w:rsidRDefault="001D3FB6" w:rsidP="00BD035A">
      <w:pPr>
        <w:pStyle w:val="FootnoteText"/>
      </w:pPr>
      <w:r>
        <w:rPr>
          <w:rStyle w:val="FootnoteReference"/>
        </w:rPr>
        <w:footnoteRef/>
      </w:r>
      <w:r>
        <w:t xml:space="preserve"> One or more from the following list:  W = wet systems; D = dry systems; F = particle formation; SR = size reduction; M = modeling; SE = systems engineering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0BF62" w14:textId="77777777" w:rsidR="00854B50" w:rsidRDefault="00854B50">
    <w:pPr>
      <w:jc w:val="center"/>
      <w:rPr>
        <w:b/>
        <w:smallCap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9EC1" w14:textId="77777777" w:rsidR="00854B50" w:rsidRDefault="00854B50" w:rsidP="00854B50">
    <w:pPr>
      <w:jc w:val="center"/>
      <w:rPr>
        <w:b/>
        <w:smallCaps/>
        <w:sz w:val="28"/>
        <w:szCs w:val="28"/>
      </w:rPr>
    </w:pPr>
    <w:r>
      <w:rPr>
        <w:b/>
        <w:smallCaps/>
        <w:noProof/>
        <w:sz w:val="28"/>
        <w:szCs w:val="28"/>
        <w:lang w:eastAsia="en-US"/>
      </w:rPr>
      <w:drawing>
        <wp:inline distT="0" distB="0" distL="0" distR="0" wp14:anchorId="54CB31CD" wp14:editId="124271BF">
          <wp:extent cx="1571625" cy="664182"/>
          <wp:effectExtent l="0" t="0" r="0" b="3175"/>
          <wp:docPr id="2" name="Picture 2" descr="C:\Users\Home\Google Drive\IFPRI\Logos\newlogo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Google Drive\IFPRI\Logos\newlogo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476" cy="68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44FCD3" w14:textId="3983ABB6" w:rsidR="00854B50" w:rsidRDefault="00854B50" w:rsidP="00854B50">
    <w:pPr>
      <w:jc w:val="center"/>
      <w:rPr>
        <w:b/>
        <w:smallCaps/>
        <w:sz w:val="28"/>
        <w:szCs w:val="28"/>
      </w:rPr>
    </w:pPr>
    <w:proofErr w:type="gramStart"/>
    <w:r>
      <w:rPr>
        <w:b/>
        <w:smallCaps/>
        <w:sz w:val="28"/>
        <w:szCs w:val="28"/>
      </w:rPr>
      <w:t>IFPRI  Brief</w:t>
    </w:r>
    <w:proofErr w:type="gramEnd"/>
    <w:r>
      <w:rPr>
        <w:b/>
        <w:smallCaps/>
        <w:sz w:val="28"/>
        <w:szCs w:val="28"/>
      </w:rPr>
      <w:t xml:space="preserve"> Template</w:t>
    </w:r>
  </w:p>
  <w:p w14:paraId="29A3F2A9" w14:textId="77777777" w:rsidR="00854B50" w:rsidRDefault="00854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3696B"/>
    <w:multiLevelType w:val="hybridMultilevel"/>
    <w:tmpl w:val="FFC49618"/>
    <w:lvl w:ilvl="0" w:tplc="5EE027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955C0"/>
    <w:multiLevelType w:val="hybridMultilevel"/>
    <w:tmpl w:val="F24A9A70"/>
    <w:lvl w:ilvl="0" w:tplc="3B802A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CB49EF4">
      <w:start w:val="16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8683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92C4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718CD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20214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4CCC5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E48EB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27AEC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5237488D"/>
    <w:multiLevelType w:val="hybridMultilevel"/>
    <w:tmpl w:val="FCFAC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26058"/>
    <w:multiLevelType w:val="hybridMultilevel"/>
    <w:tmpl w:val="9C782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67697"/>
    <w:multiLevelType w:val="hybridMultilevel"/>
    <w:tmpl w:val="B1C45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53781"/>
    <w:multiLevelType w:val="hybridMultilevel"/>
    <w:tmpl w:val="312E3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940616">
    <w:abstractNumId w:val="0"/>
  </w:num>
  <w:num w:numId="2" w16cid:durableId="1069887851">
    <w:abstractNumId w:val="1"/>
  </w:num>
  <w:num w:numId="3" w16cid:durableId="1000424238">
    <w:abstractNumId w:val="2"/>
  </w:num>
  <w:num w:numId="4" w16cid:durableId="1363433934">
    <w:abstractNumId w:val="5"/>
  </w:num>
  <w:num w:numId="5" w16cid:durableId="1607882286">
    <w:abstractNumId w:val="4"/>
  </w:num>
  <w:num w:numId="6" w16cid:durableId="2103720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81"/>
    <w:rsid w:val="00024EEB"/>
    <w:rsid w:val="00074B00"/>
    <w:rsid w:val="0009340C"/>
    <w:rsid w:val="000937FC"/>
    <w:rsid w:val="000A78CD"/>
    <w:rsid w:val="000B4D24"/>
    <w:rsid w:val="000E4F36"/>
    <w:rsid w:val="000F2A29"/>
    <w:rsid w:val="000F331F"/>
    <w:rsid w:val="00100B39"/>
    <w:rsid w:val="00186EC5"/>
    <w:rsid w:val="001959CC"/>
    <w:rsid w:val="001D3FB6"/>
    <w:rsid w:val="001F43A0"/>
    <w:rsid w:val="00201342"/>
    <w:rsid w:val="0020212E"/>
    <w:rsid w:val="002065B8"/>
    <w:rsid w:val="0024675E"/>
    <w:rsid w:val="0028436C"/>
    <w:rsid w:val="002E1EFE"/>
    <w:rsid w:val="00312451"/>
    <w:rsid w:val="003377B3"/>
    <w:rsid w:val="00347B31"/>
    <w:rsid w:val="00377931"/>
    <w:rsid w:val="00391471"/>
    <w:rsid w:val="003A792A"/>
    <w:rsid w:val="003B0C88"/>
    <w:rsid w:val="003F4605"/>
    <w:rsid w:val="003F78CD"/>
    <w:rsid w:val="00484118"/>
    <w:rsid w:val="00527A5C"/>
    <w:rsid w:val="00577882"/>
    <w:rsid w:val="005D54ED"/>
    <w:rsid w:val="005E75D8"/>
    <w:rsid w:val="00650281"/>
    <w:rsid w:val="00692040"/>
    <w:rsid w:val="006953F9"/>
    <w:rsid w:val="006B74A9"/>
    <w:rsid w:val="006E0B20"/>
    <w:rsid w:val="0076156B"/>
    <w:rsid w:val="00833C47"/>
    <w:rsid w:val="00854B50"/>
    <w:rsid w:val="00855EC0"/>
    <w:rsid w:val="00871D3A"/>
    <w:rsid w:val="00936B49"/>
    <w:rsid w:val="00943562"/>
    <w:rsid w:val="009442A2"/>
    <w:rsid w:val="009454FC"/>
    <w:rsid w:val="009960BD"/>
    <w:rsid w:val="009B6D70"/>
    <w:rsid w:val="009C4B77"/>
    <w:rsid w:val="00A06A81"/>
    <w:rsid w:val="00A2438B"/>
    <w:rsid w:val="00A7397E"/>
    <w:rsid w:val="00B00097"/>
    <w:rsid w:val="00B15E04"/>
    <w:rsid w:val="00B54630"/>
    <w:rsid w:val="00BD035A"/>
    <w:rsid w:val="00C24828"/>
    <w:rsid w:val="00C25AA5"/>
    <w:rsid w:val="00C72D6C"/>
    <w:rsid w:val="00D077C4"/>
    <w:rsid w:val="00D750DF"/>
    <w:rsid w:val="00D855C4"/>
    <w:rsid w:val="00DB1949"/>
    <w:rsid w:val="00E21CFC"/>
    <w:rsid w:val="00E27B28"/>
    <w:rsid w:val="00E37EA0"/>
    <w:rsid w:val="00E458AF"/>
    <w:rsid w:val="00ED2D2F"/>
    <w:rsid w:val="00F60DAE"/>
    <w:rsid w:val="00F64B74"/>
    <w:rsid w:val="00FC7E29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C43C9"/>
  <w15:chartTrackingRefBased/>
  <w15:docId w15:val="{9D4A2754-EBAC-438F-B420-67878AA1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854B50"/>
    <w:rPr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0E4F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4F36"/>
    <w:rPr>
      <w:lang w:eastAsia="ko-KR"/>
    </w:rPr>
  </w:style>
  <w:style w:type="character" w:styleId="FootnoteReference">
    <w:name w:val="footnote reference"/>
    <w:basedOn w:val="DefaultParagraphFont"/>
    <w:rsid w:val="000E4F36"/>
    <w:rPr>
      <w:vertAlign w:val="superscript"/>
    </w:rPr>
  </w:style>
  <w:style w:type="table" w:styleId="TableGrid">
    <w:name w:val="Table Grid"/>
    <w:basedOn w:val="TableNormal"/>
    <w:rsid w:val="001D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0281"/>
    <w:pPr>
      <w:ind w:left="720"/>
      <w:contextualSpacing/>
    </w:pPr>
  </w:style>
  <w:style w:type="character" w:styleId="Hyperlink">
    <w:name w:val="Hyperlink"/>
    <w:basedOn w:val="DefaultParagraphFont"/>
    <w:rsid w:val="000934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ilagyi.botond@vbk.bme.h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lena.simone@polit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settil@ethz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A3693-4686-48EA-966B-385B06D90B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6219a4a-a835-44d5-afaf-3926343bfb89}" enabled="0" method="" siteId="{06219a4a-a835-44d5-afaf-3926343bfb89}" removed="1"/>
  <clbl:label id="{6671b55a-3223-49d8-bf50-54afc8516179}" enabled="1" method="Privileged" siteId="{d042bb72-ecf9-4e50-bc06-f7c2ec69548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IFPRI  Project / Review Brief Template</vt:lpstr>
    </vt:vector>
  </TitlesOfParts>
  <Company>PURAC Biochem BV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IFPRI  Project / Review Brief Template</dc:title>
  <dc:subject/>
  <dc:creator>Boerefijn</dc:creator>
  <cp:keywords/>
  <cp:lastModifiedBy>Hone John GBJH</cp:lastModifiedBy>
  <cp:revision>7</cp:revision>
  <dcterms:created xsi:type="dcterms:W3CDTF">2025-06-17T12:51:00Z</dcterms:created>
  <dcterms:modified xsi:type="dcterms:W3CDTF">2025-06-17T12:54:00Z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