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ind w:right="-180"/>
        <w:rPr>
          <w:b w:val="1"/>
        </w:rPr>
      </w:pPr>
      <w:r w:rsidDel="00000000" w:rsidR="00000000" w:rsidRPr="00000000">
        <w:rPr>
          <w:b w:val="1"/>
          <w:rtl w:val="0"/>
        </w:rPr>
        <w:t xml:space="preserve">Check One:    </w:t>
      </w:r>
      <w:r w:rsidDel="00000000" w:rsidR="00000000" w:rsidRPr="00000000">
        <w:rPr>
          <w:rFonts w:ascii="MS Gothic" w:cs="MS Gothic" w:eastAsia="MS Gothic" w:hAnsi="MS Gothic"/>
          <w:b w:val="1"/>
          <w:rtl w:val="0"/>
        </w:rPr>
        <w:t xml:space="preserve">☒</w:t>
      </w:r>
      <w:r w:rsidDel="00000000" w:rsidR="00000000" w:rsidRPr="00000000">
        <w:rPr>
          <w:b w:val="1"/>
          <w:rtl w:val="0"/>
        </w:rPr>
        <w:t xml:space="preserve">Project</w:t>
        <w:tab/>
        <w:tab/>
      </w:r>
      <w:r w:rsidDel="00000000" w:rsidR="00000000" w:rsidRPr="00000000">
        <w:rPr>
          <w:rFonts w:ascii="MS Gothic" w:cs="MS Gothic" w:eastAsia="MS Gothic" w:hAnsi="MS Gothic"/>
          <w:b w:val="1"/>
          <w:rtl w:val="0"/>
        </w:rPr>
        <w:t xml:space="preserve">☐</w:t>
      </w:r>
      <w:r w:rsidDel="00000000" w:rsidR="00000000" w:rsidRPr="00000000">
        <w:rPr>
          <w:b w:val="1"/>
          <w:rtl w:val="0"/>
        </w:rPr>
        <w:t xml:space="preserve">Review</w:t>
        <w:tab/>
        <w:tab/>
      </w:r>
      <w:r w:rsidDel="00000000" w:rsidR="00000000" w:rsidRPr="00000000">
        <w:rPr>
          <w:rFonts w:ascii="MS Gothic" w:cs="MS Gothic" w:eastAsia="MS Gothic" w:hAnsi="MS Gothic"/>
          <w:b w:val="1"/>
          <w:rtl w:val="0"/>
        </w:rPr>
        <w:t xml:space="preserve">☐</w:t>
      </w:r>
      <w:r w:rsidDel="00000000" w:rsidR="00000000" w:rsidRPr="00000000">
        <w:rPr>
          <w:b w:val="1"/>
          <w:rtl w:val="0"/>
        </w:rPr>
        <w:t xml:space="preserve">Collaboration</w:t>
      </w:r>
    </w:p>
    <w:p w:rsidR="00000000" w:rsidDel="00000000" w:rsidP="00000000" w:rsidRDefault="00000000" w:rsidRPr="00000000" w14:paraId="00000003">
      <w:pPr>
        <w:ind w:right="-180"/>
        <w:rPr>
          <w:b w:val="1"/>
        </w:rPr>
      </w:pPr>
      <w:r w:rsidDel="00000000" w:rsidR="00000000" w:rsidRPr="00000000">
        <w:rPr>
          <w:b w:val="1"/>
          <w:rtl w:val="0"/>
        </w:rPr>
        <w:tab/>
        <w:tab/>
      </w:r>
      <w:r w:rsidDel="00000000" w:rsidR="00000000" w:rsidRPr="00000000">
        <w:rPr>
          <w:rFonts w:ascii="MS Gothic" w:cs="MS Gothic" w:eastAsia="MS Gothic" w:hAnsi="MS Gothic"/>
          <w:b w:val="1"/>
          <w:rtl w:val="0"/>
        </w:rPr>
        <w:t xml:space="preserve">☐</w:t>
      </w:r>
      <w:r w:rsidDel="00000000" w:rsidR="00000000" w:rsidRPr="00000000">
        <w:rPr>
          <w:b w:val="1"/>
          <w:rtl w:val="0"/>
        </w:rPr>
        <w:t xml:space="preserve">Workshop</w:t>
        <w:tab/>
        <w:tab/>
      </w:r>
      <w:r w:rsidDel="00000000" w:rsidR="00000000" w:rsidRPr="00000000">
        <w:rPr>
          <w:rFonts w:ascii="MS Gothic" w:cs="MS Gothic" w:eastAsia="MS Gothic" w:hAnsi="MS Gothic"/>
          <w:b w:val="1"/>
          <w:rtl w:val="0"/>
        </w:rPr>
        <w:t xml:space="preserve">☐</w:t>
      </w:r>
      <w:r w:rsidDel="00000000" w:rsidR="00000000" w:rsidRPr="00000000">
        <w:rPr>
          <w:b w:val="1"/>
          <w:rtl w:val="0"/>
        </w:rPr>
        <w:t xml:space="preserve">Other</w:t>
      </w:r>
    </w:p>
    <w:p w:rsidR="00000000" w:rsidDel="00000000" w:rsidP="00000000" w:rsidRDefault="00000000" w:rsidRPr="00000000" w14:paraId="00000004">
      <w:pPr>
        <w:ind w:right="-90"/>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tbl>
      <w:tblPr>
        <w:tblStyle w:val="Table1"/>
        <w:tblW w:w="89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65"/>
        <w:gridCol w:w="6840"/>
        <w:tblGridChange w:id="0">
          <w:tblGrid>
            <w:gridCol w:w="2065"/>
            <w:gridCol w:w="6840"/>
          </w:tblGrid>
        </w:tblGridChange>
      </w:tblGrid>
      <w:tr>
        <w:trPr>
          <w:cantSplit w:val="0"/>
          <w:tblHeader w:val="0"/>
        </w:trPr>
        <w:tc>
          <w:tcPr/>
          <w:p w:rsidR="00000000" w:rsidDel="00000000" w:rsidP="00000000" w:rsidRDefault="00000000" w:rsidRPr="00000000" w14:paraId="00000006">
            <w:pPr>
              <w:rPr>
                <w:b w:val="1"/>
              </w:rPr>
            </w:pPr>
            <w:r w:rsidDel="00000000" w:rsidR="00000000" w:rsidRPr="00000000">
              <w:rPr>
                <w:b w:val="1"/>
                <w:rtl w:val="0"/>
              </w:rPr>
              <w:t xml:space="preserve">Descriptive Title</w:t>
            </w:r>
          </w:p>
        </w:tc>
        <w:tc>
          <w:tcPr/>
          <w:p w:rsidR="00000000" w:rsidDel="00000000" w:rsidP="00000000" w:rsidRDefault="00000000" w:rsidRPr="00000000" w14:paraId="00000007">
            <w:pPr>
              <w:rPr/>
            </w:pPr>
            <w:r w:rsidDel="00000000" w:rsidR="00000000" w:rsidRPr="00000000">
              <w:rPr>
                <w:rtl w:val="0"/>
              </w:rPr>
              <w:t xml:space="preserve">Mechanical activation of organic crystalline materials during breakage in dry systems</w:t>
            </w:r>
          </w:p>
        </w:tc>
      </w:tr>
      <w:tr>
        <w:trPr>
          <w:cantSplit w:val="0"/>
          <w:tblHeader w:val="0"/>
        </w:trPr>
        <w:tc>
          <w:tcPr/>
          <w:p w:rsidR="00000000" w:rsidDel="00000000" w:rsidP="00000000" w:rsidRDefault="00000000" w:rsidRPr="00000000" w14:paraId="00000008">
            <w:pPr>
              <w:rPr>
                <w:b w:val="1"/>
              </w:rPr>
            </w:pPr>
            <w:r w:rsidDel="00000000" w:rsidR="00000000" w:rsidRPr="00000000">
              <w:rPr>
                <w:b w:val="1"/>
                <w:rtl w:val="0"/>
              </w:rPr>
              <w:t xml:space="preserve">Working Title</w:t>
            </w:r>
            <w:r w:rsidDel="00000000" w:rsidR="00000000" w:rsidRPr="00000000">
              <w:rPr>
                <w:b w:val="1"/>
                <w:vertAlign w:val="superscript"/>
              </w:rPr>
              <w:footnoteReference w:customMarkFollows="0" w:id="0"/>
            </w:r>
            <w:r w:rsidDel="00000000" w:rsidR="00000000" w:rsidRPr="00000000">
              <w:rPr>
                <w:rtl w:val="0"/>
              </w:rPr>
            </w:r>
          </w:p>
        </w:tc>
        <w:tc>
          <w:tcPr/>
          <w:p w:rsidR="00000000" w:rsidDel="00000000" w:rsidP="00000000" w:rsidRDefault="00000000" w:rsidRPr="00000000" w14:paraId="00000009">
            <w:pPr>
              <w:rPr/>
            </w:pPr>
            <w:r w:rsidDel="00000000" w:rsidR="00000000" w:rsidRPr="00000000">
              <w:rPr>
                <w:rtl w:val="0"/>
              </w:rPr>
              <w:t xml:space="preserve">Mechanical activation of crystalline materials</w:t>
            </w:r>
          </w:p>
        </w:tc>
      </w:tr>
      <w:tr>
        <w:trPr>
          <w:cantSplit w:val="0"/>
          <w:tblHeader w:val="0"/>
        </w:trPr>
        <w:tc>
          <w:tcPr/>
          <w:p w:rsidR="00000000" w:rsidDel="00000000" w:rsidP="00000000" w:rsidRDefault="00000000" w:rsidRPr="00000000" w14:paraId="0000000A">
            <w:pPr>
              <w:rPr>
                <w:b w:val="1"/>
              </w:rPr>
            </w:pPr>
            <w:r w:rsidDel="00000000" w:rsidR="00000000" w:rsidRPr="00000000">
              <w:rPr>
                <w:b w:val="1"/>
                <w:rtl w:val="0"/>
              </w:rPr>
              <w:t xml:space="preserve">Technical Area</w:t>
            </w:r>
            <w:r w:rsidDel="00000000" w:rsidR="00000000" w:rsidRPr="00000000">
              <w:rPr>
                <w:b w:val="1"/>
                <w:vertAlign w:val="superscript"/>
              </w:rPr>
              <w:footnoteReference w:customMarkFollows="0" w:id="1"/>
            </w:r>
            <w:r w:rsidDel="00000000" w:rsidR="00000000" w:rsidRPr="00000000">
              <w:rPr>
                <w:rtl w:val="0"/>
              </w:rPr>
            </w:r>
          </w:p>
        </w:tc>
        <w:tc>
          <w:tcPr/>
          <w:p w:rsidR="00000000" w:rsidDel="00000000" w:rsidP="00000000" w:rsidRDefault="00000000" w:rsidRPr="00000000" w14:paraId="0000000B">
            <w:pPr>
              <w:rPr/>
            </w:pPr>
            <w:r w:rsidDel="00000000" w:rsidR="00000000" w:rsidRPr="00000000">
              <w:rPr>
                <w:rtl w:val="0"/>
              </w:rPr>
              <w:t xml:space="preserve">Size Reduction</w:t>
            </w:r>
          </w:p>
        </w:tc>
      </w:tr>
      <w:tr>
        <w:trPr>
          <w:cantSplit w:val="0"/>
          <w:tblHeader w:val="0"/>
        </w:trPr>
        <w:tc>
          <w:tcPr/>
          <w:p w:rsidR="00000000" w:rsidDel="00000000" w:rsidP="00000000" w:rsidRDefault="00000000" w:rsidRPr="00000000" w14:paraId="0000000C">
            <w:pPr>
              <w:rPr>
                <w:b w:val="1"/>
              </w:rPr>
            </w:pPr>
            <w:r w:rsidDel="00000000" w:rsidR="00000000" w:rsidRPr="00000000">
              <w:rPr>
                <w:b w:val="1"/>
                <w:rtl w:val="0"/>
              </w:rPr>
              <w:t xml:space="preserve">Date</w:t>
            </w:r>
          </w:p>
        </w:tc>
        <w:tc>
          <w:tcPr/>
          <w:p w:rsidR="00000000" w:rsidDel="00000000" w:rsidP="00000000" w:rsidRDefault="00000000" w:rsidRPr="00000000" w14:paraId="0000000D">
            <w:pPr>
              <w:rPr/>
            </w:pPr>
            <w:r w:rsidDel="00000000" w:rsidR="00000000" w:rsidRPr="00000000">
              <w:rPr>
                <w:rtl w:val="0"/>
              </w:rPr>
              <w:t xml:space="preserve">17th June 2025</w:t>
            </w:r>
          </w:p>
        </w:tc>
      </w:tr>
      <w:tr>
        <w:trPr>
          <w:cantSplit w:val="0"/>
          <w:tblHeader w:val="0"/>
        </w:trPr>
        <w:tc>
          <w:tcPr/>
          <w:p w:rsidR="00000000" w:rsidDel="00000000" w:rsidP="00000000" w:rsidRDefault="00000000" w:rsidRPr="00000000" w14:paraId="0000000E">
            <w:pPr>
              <w:rPr>
                <w:b w:val="1"/>
              </w:rPr>
            </w:pPr>
            <w:r w:rsidDel="00000000" w:rsidR="00000000" w:rsidRPr="00000000">
              <w:rPr>
                <w:b w:val="1"/>
                <w:rtl w:val="0"/>
              </w:rPr>
              <w:t xml:space="preserve">Short Description</w:t>
            </w:r>
          </w:p>
        </w:tc>
        <w:tc>
          <w:tcPr/>
          <w:p w:rsidR="00000000" w:rsidDel="00000000" w:rsidP="00000000" w:rsidRDefault="00000000" w:rsidRPr="00000000" w14:paraId="0000000F">
            <w:pPr>
              <w:rPr>
                <w:b w:val="1"/>
              </w:rPr>
            </w:pPr>
            <w:r w:rsidDel="00000000" w:rsidR="00000000" w:rsidRPr="00000000">
              <w:rPr>
                <w:b w:val="1"/>
                <w:rtl w:val="0"/>
              </w:rPr>
              <w:t xml:space="preserve">Problem statement</w:t>
            </w:r>
          </w:p>
          <w:p w:rsidR="00000000" w:rsidDel="00000000" w:rsidP="00000000" w:rsidRDefault="00000000" w:rsidRPr="00000000" w14:paraId="00000010">
            <w:pPr>
              <w:rPr/>
            </w:pPr>
            <w:r w:rsidDel="00000000" w:rsidR="00000000" w:rsidRPr="00000000">
              <w:rPr>
                <w:rtl w:val="0"/>
              </w:rPr>
              <w:t xml:space="preserve">Particle breakage of organic crystalline materials is often associated with mechanical activation and negative implications on process performance and product attributes. Typical issues associated with this behavior are (a) limited throughput, limitations in product fineness and caking in process operations, and (b) particle size growth, solid form transformation, loss in crystallinity, and chemical degradation in manufactured products. This is industrial relevant for processes including body breakage of organic crystalline materials, mainly dry milling and compression. The fundamental problem is little understood (Descamps and Willart 2016, Iyer et at. 2023). Industry can handle these issues in most cases only by trial-and-error approach.</w:t>
            </w:r>
          </w:p>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Scientific scope</w:t>
            </w:r>
          </w:p>
          <w:p w:rsidR="00000000" w:rsidDel="00000000" w:rsidP="00000000" w:rsidRDefault="00000000" w:rsidRPr="00000000" w14:paraId="00000013">
            <w:pPr>
              <w:rPr/>
            </w:pPr>
            <w:r w:rsidDel="00000000" w:rsidR="00000000" w:rsidRPr="00000000">
              <w:rPr>
                <w:rtl w:val="0"/>
              </w:rPr>
              <w:t xml:space="preserve">Mechanical activation and the corresponding material behavior of organic crystalline materials following from the initiation of breakage, including preferable crack planes, evolution of temperature, mechanochemical reaction, formation of disorder, relaxation/recrystallization, and atmospheric interactions is in the scientific scope of this project proposal. This is an interdisciplinary topic across particle breakage, crystallography, mechanochemistry, organic chemistry and solid-state science. The work by Boldyrev and co-workers on mechanical activation (Boldyrev 2018) and Beyer and Clausen-Shaumann on activation of covalent bonds (Beyer and Clausen-Shaumann 2005) should be considered as starting points.</w:t>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Motivation</w:t>
            </w:r>
          </w:p>
          <w:p w:rsidR="00000000" w:rsidDel="00000000" w:rsidP="00000000" w:rsidRDefault="00000000" w:rsidRPr="00000000" w14:paraId="00000016">
            <w:pPr>
              <w:rPr/>
            </w:pPr>
            <w:r w:rsidDel="00000000" w:rsidR="00000000" w:rsidRPr="00000000">
              <w:rPr>
                <w:rtl w:val="0"/>
              </w:rPr>
              <w:t xml:space="preserve">Creation of the fundamental understanding on the dynamic material behavior following from the initiation of breakage and addressing the relationship between input material attributes, mechanical stress characteristics/atmospheric conditions and physical and chemical product material attributes would lead to opportunities for early-on risk assessment and guiding directions for process and product improvement in industry.</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References</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25" w:right="0" w:hanging="210"/>
              <w:jc w:val="left"/>
              <w:rPr>
                <w:u w:val="none"/>
              </w:rPr>
            </w:pPr>
            <w:hyperlink r:id="rId8">
              <w:r w:rsidDel="00000000" w:rsidR="00000000" w:rsidRPr="00000000">
                <w:rPr>
                  <w:color w:val="1155cc"/>
                  <w:u w:val="single"/>
                  <w:rtl w:val="0"/>
                </w:rPr>
                <w:t xml:space="preserve">Beyer and Clausen-Shaumann, </w:t>
              </w:r>
            </w:hyperlink>
            <w:hyperlink r:id="rId9">
              <w:r w:rsidDel="00000000" w:rsidR="00000000" w:rsidRPr="00000000">
                <w:rPr>
                  <w:i w:val="1"/>
                  <w:color w:val="1155cc"/>
                  <w:u w:val="single"/>
                  <w:rtl w:val="0"/>
                </w:rPr>
                <w:t xml:space="preserve">Chem. Rev.</w:t>
              </w:r>
            </w:hyperlink>
            <w:hyperlink r:id="rId10">
              <w:r w:rsidDel="00000000" w:rsidR="00000000" w:rsidRPr="00000000">
                <w:rPr>
                  <w:color w:val="1155cc"/>
                  <w:u w:val="single"/>
                  <w:rtl w:val="0"/>
                </w:rPr>
                <w:t xml:space="preserve"> 105 (2005) 2921-2944</w:t>
              </w:r>
            </w:hyperlink>
            <w:r w:rsidDel="00000000" w:rsidR="00000000" w:rsidRPr="00000000">
              <w:rPr>
                <w:rtl w:val="0"/>
              </w:rPr>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25" w:right="0" w:hanging="210"/>
              <w:jc w:val="left"/>
              <w:rPr>
                <w:u w:val="none"/>
              </w:rPr>
            </w:pPr>
            <w:hyperlink r:id="rId11">
              <w:r w:rsidDel="00000000" w:rsidR="00000000" w:rsidRPr="00000000">
                <w:rPr>
                  <w:color w:val="1155cc"/>
                  <w:u w:val="single"/>
                  <w:rtl w:val="0"/>
                </w:rPr>
                <w:t xml:space="preserve">Boldyrev, </w:t>
              </w:r>
            </w:hyperlink>
            <w:hyperlink r:id="rId12">
              <w:r w:rsidDel="00000000" w:rsidR="00000000" w:rsidRPr="00000000">
                <w:rPr>
                  <w:i w:val="1"/>
                  <w:color w:val="1155cc"/>
                  <w:u w:val="single"/>
                  <w:rtl w:val="0"/>
                </w:rPr>
                <w:t xml:space="preserve">Her. Russ. Acad. Sci.</w:t>
              </w:r>
            </w:hyperlink>
            <w:hyperlink r:id="rId13">
              <w:r w:rsidDel="00000000" w:rsidR="00000000" w:rsidRPr="00000000">
                <w:rPr>
                  <w:color w:val="1155cc"/>
                  <w:u w:val="single"/>
                  <w:rtl w:val="0"/>
                </w:rPr>
                <w:t xml:space="preserve"> 88 (2018) 142-150</w:t>
              </w:r>
            </w:hyperlink>
            <w:r w:rsidDel="00000000" w:rsidR="00000000" w:rsidRPr="00000000">
              <w:rPr>
                <w:rtl w:val="0"/>
              </w:rPr>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25" w:right="0" w:hanging="210"/>
              <w:jc w:val="left"/>
              <w:rPr/>
            </w:pPr>
            <w:hyperlink r:id="rId14">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Descamps and Willart, </w:t>
              </w:r>
            </w:hyperlink>
            <w:hyperlink r:id="rId15">
              <w:r w:rsidDel="00000000" w:rsidR="00000000" w:rsidRPr="00000000">
                <w:rPr>
                  <w:rFonts w:ascii="Times New Roman" w:cs="Times New Roman" w:eastAsia="Times New Roman" w:hAnsi="Times New Roman"/>
                  <w:b w:val="0"/>
                  <w:i w:val="1"/>
                  <w:smallCaps w:val="0"/>
                  <w:strike w:val="0"/>
                  <w:color w:val="0563c1"/>
                  <w:sz w:val="24"/>
                  <w:szCs w:val="24"/>
                  <w:u w:val="single"/>
                  <w:shd w:fill="auto" w:val="clear"/>
                  <w:vertAlign w:val="baseline"/>
                  <w:rtl w:val="0"/>
                </w:rPr>
                <w:t xml:space="preserve">Adv. Drug Deliv. Rev.</w:t>
              </w:r>
            </w:hyperlink>
            <w:hyperlink r:id="rId16">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 100 (2016) 51-66</w:t>
              </w:r>
            </w:hyperlink>
            <w:r w:rsidDel="00000000" w:rsidR="00000000" w:rsidRPr="00000000">
              <w:rPr>
                <w:rtl w:val="0"/>
              </w:rPr>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26" w:right="0" w:hanging="210"/>
              <w:jc w:val="left"/>
              <w:rPr/>
            </w:pPr>
            <w:hyperlink r:id="rId17">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Iyer et al., </w:t>
              </w:r>
            </w:hyperlink>
            <w:hyperlink r:id="rId18">
              <w:r w:rsidDel="00000000" w:rsidR="00000000" w:rsidRPr="00000000">
                <w:rPr>
                  <w:rFonts w:ascii="Times New Roman" w:cs="Times New Roman" w:eastAsia="Times New Roman" w:hAnsi="Times New Roman"/>
                  <w:b w:val="0"/>
                  <w:i w:val="1"/>
                  <w:smallCaps w:val="0"/>
                  <w:strike w:val="0"/>
                  <w:color w:val="0563c1"/>
                  <w:sz w:val="24"/>
                  <w:szCs w:val="24"/>
                  <w:u w:val="single"/>
                  <w:shd w:fill="auto" w:val="clear"/>
                  <w:vertAlign w:val="baseline"/>
                  <w:rtl w:val="0"/>
                </w:rPr>
                <w:t xml:space="preserve">J. Pharm. Sci.</w:t>
              </w:r>
            </w:hyperlink>
            <w:hyperlink r:id="rId19">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 112 (2023) 1539-1565</w:t>
              </w:r>
            </w:hyperlink>
            <w:r w:rsidDel="00000000" w:rsidR="00000000" w:rsidRPr="00000000">
              <w:rPr>
                <w:rtl w:val="0"/>
              </w:rPr>
            </w:r>
          </w:p>
        </w:tc>
      </w:tr>
      <w:tr>
        <w:trPr>
          <w:cantSplit w:val="0"/>
          <w:tblHeader w:val="0"/>
        </w:trPr>
        <w:tc>
          <w:tcPr/>
          <w:p w:rsidR="00000000" w:rsidDel="00000000" w:rsidP="00000000" w:rsidRDefault="00000000" w:rsidRPr="00000000" w14:paraId="0000001D">
            <w:pPr>
              <w:rPr>
                <w:b w:val="1"/>
              </w:rPr>
            </w:pPr>
            <w:r w:rsidDel="00000000" w:rsidR="00000000" w:rsidRPr="00000000">
              <w:rPr>
                <w:rtl w:val="0"/>
              </w:rPr>
            </w:r>
          </w:p>
        </w:tc>
        <w:tc>
          <w:tcPr/>
          <w:p w:rsidR="00000000" w:rsidDel="00000000" w:rsidP="00000000" w:rsidRDefault="00000000" w:rsidRPr="00000000" w14:paraId="0000001E">
            <w:pPr>
              <w:rPr/>
            </w:pPr>
            <w:r w:rsidDel="00000000" w:rsidR="00000000" w:rsidRPr="00000000">
              <w:rPr>
                <w:rtl w:val="0"/>
              </w:rPr>
            </w:r>
          </w:p>
        </w:tc>
      </w:tr>
      <w:tr>
        <w:trPr>
          <w:cantSplit w:val="0"/>
          <w:tblHeader w:val="0"/>
        </w:trPr>
        <w:tc>
          <w:tcPr/>
          <w:p w:rsidR="00000000" w:rsidDel="00000000" w:rsidP="00000000" w:rsidRDefault="00000000" w:rsidRPr="00000000" w14:paraId="0000001F">
            <w:pPr>
              <w:rPr>
                <w:b w:val="1"/>
              </w:rPr>
            </w:pPr>
            <w:r w:rsidDel="00000000" w:rsidR="00000000" w:rsidRPr="00000000">
              <w:rPr>
                <w:b w:val="1"/>
                <w:rtl w:val="0"/>
              </w:rPr>
              <w:t xml:space="preserve">Objectives</w:t>
            </w:r>
          </w:p>
        </w:tc>
        <w:tc>
          <w:tcPr/>
          <w:p w:rsidR="00000000" w:rsidDel="00000000" w:rsidP="00000000" w:rsidRDefault="00000000" w:rsidRPr="00000000" w14:paraId="00000020">
            <w:pPr>
              <w:ind w:left="0" w:firstLine="0"/>
              <w:rPr/>
            </w:pPr>
            <w:r w:rsidDel="00000000" w:rsidR="00000000" w:rsidRPr="00000000">
              <w:rPr>
                <w:rtl w:val="0"/>
              </w:rPr>
              <w:t xml:space="preserve">The project should have both experimental and computer-based components. The objectives of this project are</w:t>
            </w:r>
          </w:p>
          <w:p w:rsidR="00000000" w:rsidDel="00000000" w:rsidP="00000000" w:rsidRDefault="00000000" w:rsidRPr="00000000" w14:paraId="00000021">
            <w:pPr>
              <w:numPr>
                <w:ilvl w:val="0"/>
                <w:numId w:val="1"/>
              </w:numPr>
              <w:ind w:left="225" w:hanging="210"/>
            </w:pPr>
            <w:r w:rsidDel="00000000" w:rsidR="00000000" w:rsidRPr="00000000">
              <w:rPr>
                <w:b w:val="1"/>
                <w:rtl w:val="0"/>
              </w:rPr>
              <w:t xml:space="preserve">Deconvolute the fundamental principles, main impacting parameters and their interrelation</w:t>
            </w:r>
            <w:r w:rsidDel="00000000" w:rsidR="00000000" w:rsidRPr="00000000">
              <w:rPr>
                <w:rtl w:val="0"/>
              </w:rPr>
              <w:t xml:space="preserve"> considering (a) physical and chemical input material attributes, (b) stress conditions, and (c) following from the initiation of breakage, preferable crack planes, mechanochemical reaction, formation of disorder, relaxation/recrystallization, and atmospheric interactions on (d) the physical and chemical product material attributes.</w:t>
            </w:r>
          </w:p>
          <w:p w:rsidR="00000000" w:rsidDel="00000000" w:rsidP="00000000" w:rsidRDefault="00000000" w:rsidRPr="00000000" w14:paraId="00000022">
            <w:pPr>
              <w:numPr>
                <w:ilvl w:val="0"/>
                <w:numId w:val="1"/>
              </w:numPr>
              <w:ind w:left="226" w:hanging="210"/>
            </w:pPr>
            <w:r w:rsidDel="00000000" w:rsidR="00000000" w:rsidRPr="00000000">
              <w:rPr>
                <w:b w:val="1"/>
                <w:rtl w:val="0"/>
              </w:rPr>
              <w:t xml:space="preserve">Establish a validated workflow for the risk assessment</w:t>
            </w:r>
            <w:r w:rsidDel="00000000" w:rsidR="00000000" w:rsidRPr="00000000">
              <w:rPr>
                <w:rtl w:val="0"/>
              </w:rPr>
              <w:t xml:space="preserve"> of process induced transformations on the physical and chemical product material attributes considering different mechanical stress and atmospheric conditions. The workflow should be based on analytical data from the input material attributes, scenarios for mechanical stress and atmospheric conditions, and a computer-based risk assessment, ideally derived from first-principles models, of process induced transformations of the physical and chemical product material attributes. The workflow should minimize, ideally prevent from processing effort beyond the analytical and computational effort.</w:t>
            </w:r>
          </w:p>
          <w:p w:rsidR="00000000" w:rsidDel="00000000" w:rsidP="00000000" w:rsidRDefault="00000000" w:rsidRPr="00000000" w14:paraId="00000023">
            <w:pPr>
              <w:numPr>
                <w:ilvl w:val="0"/>
                <w:numId w:val="1"/>
              </w:numPr>
              <w:ind w:left="226" w:hanging="210"/>
              <w:rPr>
                <w:u w:val="none"/>
              </w:rPr>
            </w:pPr>
            <w:r w:rsidDel="00000000" w:rsidR="00000000" w:rsidRPr="00000000">
              <w:rPr>
                <w:b w:val="1"/>
                <w:rtl w:val="0"/>
              </w:rPr>
              <w:t xml:space="preserve">Establish a validated workflow to direct optimization</w:t>
            </w:r>
            <w:r w:rsidDel="00000000" w:rsidR="00000000" w:rsidRPr="00000000">
              <w:rPr>
                <w:rtl w:val="0"/>
              </w:rPr>
              <w:t xml:space="preserve"> for the reduction/prevention of process induced transformations of the physical and chemical product material attributes. The workflow should build upon the previous objective and derive a process safe space for mechanical stress and atmospheric conditions to minimize/prevent process induced transformations of the physical and chemical product material attributes by a computer-based framework.</w:t>
            </w:r>
          </w:p>
        </w:tc>
      </w:tr>
      <w:tr>
        <w:trPr>
          <w:cantSplit w:val="0"/>
          <w:tblHeader w:val="0"/>
        </w:trPr>
        <w:tc>
          <w:tcPr/>
          <w:p w:rsidR="00000000" w:rsidDel="00000000" w:rsidP="00000000" w:rsidRDefault="00000000" w:rsidRPr="00000000" w14:paraId="00000024">
            <w:pPr>
              <w:rPr>
                <w:b w:val="1"/>
              </w:rPr>
            </w:pPr>
            <w:r w:rsidDel="00000000" w:rsidR="00000000" w:rsidRPr="00000000">
              <w:rPr>
                <w:b w:val="1"/>
                <w:rtl w:val="0"/>
              </w:rPr>
              <w:t xml:space="preserve">Scope</w:t>
            </w:r>
          </w:p>
        </w:tc>
        <w:tc>
          <w:tcPr/>
          <w:p w:rsidR="00000000" w:rsidDel="00000000" w:rsidP="00000000" w:rsidRDefault="00000000" w:rsidRPr="00000000" w14:paraId="00000025">
            <w:pPr>
              <w:numPr>
                <w:ilvl w:val="0"/>
                <w:numId w:val="1"/>
              </w:numPr>
              <w:ind w:left="226" w:hanging="210"/>
              <w:rPr/>
            </w:pPr>
            <w:r w:rsidDel="00000000" w:rsidR="00000000" w:rsidRPr="00000000">
              <w:rPr>
                <w:b w:val="1"/>
                <w:rtl w:val="0"/>
              </w:rPr>
              <w:t xml:space="preserve">Organic crystalline materials</w:t>
            </w:r>
            <w:r w:rsidDel="00000000" w:rsidR="00000000" w:rsidRPr="00000000">
              <w:rPr>
                <w:rtl w:val="0"/>
              </w:rPr>
              <w:t xml:space="preserve"> (aligned with industrial project liaisons) of single, non-agglomerated particles; particle shape as applicable; brittle fracture characteristics of initial solids material</w:t>
            </w:r>
          </w:p>
          <w:p w:rsidR="00000000" w:rsidDel="00000000" w:rsidP="00000000" w:rsidRDefault="00000000" w:rsidRPr="00000000" w14:paraId="00000026">
            <w:pPr>
              <w:numPr>
                <w:ilvl w:val="0"/>
                <w:numId w:val="1"/>
              </w:numPr>
              <w:ind w:left="226" w:hanging="210"/>
              <w:rPr/>
            </w:pPr>
            <w:r w:rsidDel="00000000" w:rsidR="00000000" w:rsidRPr="00000000">
              <w:rPr>
                <w:b w:val="1"/>
                <w:rtl w:val="0"/>
              </w:rPr>
              <w:t xml:space="preserve">Solids material</w:t>
            </w:r>
            <w:r w:rsidDel="00000000" w:rsidR="00000000" w:rsidRPr="00000000">
              <w:rPr>
                <w:rtl w:val="0"/>
              </w:rPr>
              <w:t xml:space="preserve">: Particle size average range of 100 to 500 µm and temperature of about -20 to 40°C, when appropriate</w:t>
            </w:r>
          </w:p>
          <w:p w:rsidR="00000000" w:rsidDel="00000000" w:rsidP="00000000" w:rsidRDefault="00000000" w:rsidRPr="00000000" w14:paraId="00000027">
            <w:pPr>
              <w:numPr>
                <w:ilvl w:val="0"/>
                <w:numId w:val="1"/>
              </w:numPr>
              <w:ind w:left="226" w:hanging="210"/>
              <w:rPr/>
            </w:pPr>
            <w:r w:rsidDel="00000000" w:rsidR="00000000" w:rsidRPr="00000000">
              <w:rPr>
                <w:b w:val="1"/>
                <w:rtl w:val="0"/>
              </w:rPr>
              <w:t xml:space="preserve">Stress conditions</w:t>
            </w:r>
            <w:r w:rsidDel="00000000" w:rsidR="00000000" w:rsidRPr="00000000">
              <w:rPr>
                <w:rtl w:val="0"/>
              </w:rPr>
              <w:t xml:space="preserve">: Compression stress between rigid walls (single particle and powder bed) and impact stress against rigid wall, both at different levels of stress, strain rate and multiple stress events, when appropriate </w:t>
            </w:r>
          </w:p>
          <w:p w:rsidR="00000000" w:rsidDel="00000000" w:rsidP="00000000" w:rsidRDefault="00000000" w:rsidRPr="00000000" w14:paraId="00000028">
            <w:pPr>
              <w:numPr>
                <w:ilvl w:val="0"/>
                <w:numId w:val="1"/>
              </w:numPr>
              <w:ind w:left="226" w:hanging="210"/>
              <w:rPr/>
            </w:pPr>
            <w:r w:rsidDel="00000000" w:rsidR="00000000" w:rsidRPr="00000000">
              <w:rPr>
                <w:b w:val="1"/>
                <w:rtl w:val="0"/>
              </w:rPr>
              <w:t xml:space="preserve">Atmospheric conditions</w:t>
            </w:r>
            <w:r w:rsidDel="00000000" w:rsidR="00000000" w:rsidRPr="00000000">
              <w:rPr>
                <w:rtl w:val="0"/>
              </w:rPr>
              <w:t xml:space="preserve">: Temperature of about -20 to 40°C, rel. humidity of about 0 to 80% rh and nitrogen and air gas, when appropriate</w:t>
            </w:r>
          </w:p>
        </w:tc>
      </w:tr>
    </w:tbl>
    <w:p w:rsidR="00000000" w:rsidDel="00000000" w:rsidP="00000000" w:rsidRDefault="00000000" w:rsidRPr="00000000" w14:paraId="00000029">
      <w:pPr>
        <w:rPr/>
      </w:pPr>
      <w:r w:rsidDel="00000000" w:rsidR="00000000" w:rsidRPr="00000000">
        <w:rPr>
          <w:rtl w:val="0"/>
        </w:rPr>
      </w:r>
    </w:p>
    <w:tbl>
      <w:tblPr>
        <w:tblStyle w:val="Table2"/>
        <w:tblW w:w="89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68"/>
        <w:gridCol w:w="2968"/>
        <w:gridCol w:w="2969"/>
        <w:tblGridChange w:id="0">
          <w:tblGrid>
            <w:gridCol w:w="2968"/>
            <w:gridCol w:w="2968"/>
            <w:gridCol w:w="2969"/>
          </w:tblGrid>
        </w:tblGridChange>
      </w:tblGrid>
      <w:tr>
        <w:trPr>
          <w:cantSplit w:val="0"/>
          <w:tblHeader w:val="0"/>
        </w:trPr>
        <w:tc>
          <w:tcPr>
            <w:gridSpan w:val="3"/>
          </w:tcPr>
          <w:p w:rsidR="00000000" w:rsidDel="00000000" w:rsidP="00000000" w:rsidRDefault="00000000" w:rsidRPr="00000000" w14:paraId="0000002A">
            <w:pPr>
              <w:jc w:val="center"/>
              <w:rPr>
                <w:b w:val="1"/>
              </w:rPr>
            </w:pPr>
            <w:r w:rsidDel="00000000" w:rsidR="00000000" w:rsidRPr="00000000">
              <w:rPr>
                <w:b w:val="1"/>
                <w:rtl w:val="0"/>
              </w:rPr>
              <w:t xml:space="preserve">Recommended Contractors (2 or 3)</w:t>
            </w:r>
          </w:p>
        </w:tc>
      </w:tr>
      <w:tr>
        <w:trPr>
          <w:cantSplit w:val="0"/>
          <w:tblHeader w:val="0"/>
        </w:trPr>
        <w:tc>
          <w:tcPr/>
          <w:p w:rsidR="00000000" w:rsidDel="00000000" w:rsidP="00000000" w:rsidRDefault="00000000" w:rsidRPr="00000000" w14:paraId="0000002D">
            <w:pPr>
              <w:jc w:val="center"/>
              <w:rPr>
                <w:b w:val="1"/>
              </w:rPr>
            </w:pPr>
            <w:r w:rsidDel="00000000" w:rsidR="00000000" w:rsidRPr="00000000">
              <w:rPr>
                <w:b w:val="1"/>
                <w:rtl w:val="0"/>
              </w:rPr>
              <w:t xml:space="preserve">Name</w:t>
            </w:r>
          </w:p>
        </w:tc>
        <w:tc>
          <w:tcPr/>
          <w:p w:rsidR="00000000" w:rsidDel="00000000" w:rsidP="00000000" w:rsidRDefault="00000000" w:rsidRPr="00000000" w14:paraId="0000002E">
            <w:pPr>
              <w:jc w:val="center"/>
              <w:rPr>
                <w:b w:val="1"/>
              </w:rPr>
            </w:pPr>
            <w:r w:rsidDel="00000000" w:rsidR="00000000" w:rsidRPr="00000000">
              <w:rPr>
                <w:b w:val="1"/>
                <w:rtl w:val="0"/>
              </w:rPr>
              <w:t xml:space="preserve">Institution</w:t>
            </w:r>
          </w:p>
        </w:tc>
        <w:tc>
          <w:tcPr/>
          <w:p w:rsidR="00000000" w:rsidDel="00000000" w:rsidP="00000000" w:rsidRDefault="00000000" w:rsidRPr="00000000" w14:paraId="0000002F">
            <w:pPr>
              <w:jc w:val="center"/>
              <w:rPr>
                <w:b w:val="1"/>
              </w:rPr>
            </w:pPr>
            <w:r w:rsidDel="00000000" w:rsidR="00000000" w:rsidRPr="00000000">
              <w:rPr>
                <w:b w:val="1"/>
                <w:rtl w:val="0"/>
              </w:rPr>
              <w:t xml:space="preserve">Email Address</w:t>
            </w:r>
          </w:p>
        </w:tc>
      </w:tr>
      <w:tr>
        <w:trPr>
          <w:cantSplit w:val="0"/>
          <w:tblHeader w:val="0"/>
        </w:trPr>
        <w:tc>
          <w:tcPr/>
          <w:p w:rsidR="00000000" w:rsidDel="00000000" w:rsidP="00000000" w:rsidRDefault="00000000" w:rsidRPr="00000000" w14:paraId="00000030">
            <w:pPr>
              <w:rPr/>
            </w:pPr>
            <w:hyperlink r:id="rId20">
              <w:r w:rsidDel="00000000" w:rsidR="00000000" w:rsidRPr="00000000">
                <w:rPr>
                  <w:color w:val="1155cc"/>
                  <w:u w:val="single"/>
                  <w:rtl w:val="0"/>
                </w:rPr>
                <w:t xml:space="preserve">Raj Suryanarayanan</w:t>
              </w:r>
            </w:hyperlink>
            <w:r w:rsidDel="00000000" w:rsidR="00000000" w:rsidRPr="00000000">
              <w:rPr>
                <w:rtl w:val="0"/>
              </w:rPr>
            </w:r>
          </w:p>
        </w:tc>
        <w:tc>
          <w:tcPr/>
          <w:p w:rsidR="00000000" w:rsidDel="00000000" w:rsidP="00000000" w:rsidRDefault="00000000" w:rsidRPr="00000000" w14:paraId="00000031">
            <w:pPr>
              <w:rPr/>
            </w:pPr>
            <w:r w:rsidDel="00000000" w:rsidR="00000000" w:rsidRPr="00000000">
              <w:rPr>
                <w:rtl w:val="0"/>
              </w:rPr>
              <w:t xml:space="preserve">University of Minnesota</w:t>
            </w:r>
          </w:p>
        </w:tc>
        <w:tc>
          <w:tcPr/>
          <w:p w:rsidR="00000000" w:rsidDel="00000000" w:rsidP="00000000" w:rsidRDefault="00000000" w:rsidRPr="00000000" w14:paraId="00000032">
            <w:pPr>
              <w:rPr/>
            </w:pPr>
            <w:r w:rsidDel="00000000" w:rsidR="00000000" w:rsidRPr="00000000">
              <w:rPr>
                <w:rtl w:val="0"/>
              </w:rPr>
              <w:t xml:space="preserve">surya001@umn.edu</w:t>
            </w:r>
          </w:p>
        </w:tc>
      </w:tr>
      <w:tr>
        <w:trPr>
          <w:cantSplit w:val="0"/>
          <w:tblHeader w:val="0"/>
        </w:trPr>
        <w:tc>
          <w:tcPr/>
          <w:p w:rsidR="00000000" w:rsidDel="00000000" w:rsidP="00000000" w:rsidRDefault="00000000" w:rsidRPr="00000000" w14:paraId="00000033">
            <w:pPr>
              <w:rPr/>
            </w:pPr>
            <w:hyperlink r:id="rId21">
              <w:r w:rsidDel="00000000" w:rsidR="00000000" w:rsidRPr="00000000">
                <w:rPr>
                  <w:color w:val="1155cc"/>
                  <w:u w:val="single"/>
                  <w:rtl w:val="0"/>
                </w:rPr>
                <w:t xml:space="preserve">Eric J. Munson</w:t>
              </w:r>
            </w:hyperlink>
            <w:r w:rsidDel="00000000" w:rsidR="00000000" w:rsidRPr="00000000">
              <w:rPr>
                <w:rtl w:val="0"/>
              </w:rPr>
            </w:r>
          </w:p>
        </w:tc>
        <w:tc>
          <w:tcPr/>
          <w:p w:rsidR="00000000" w:rsidDel="00000000" w:rsidP="00000000" w:rsidRDefault="00000000" w:rsidRPr="00000000" w14:paraId="00000034">
            <w:pPr>
              <w:rPr/>
            </w:pPr>
            <w:r w:rsidDel="00000000" w:rsidR="00000000" w:rsidRPr="00000000">
              <w:rPr>
                <w:rtl w:val="0"/>
              </w:rPr>
              <w:t xml:space="preserve">Purdue University</w:t>
            </w:r>
          </w:p>
        </w:tc>
        <w:tc>
          <w:tcPr/>
          <w:p w:rsidR="00000000" w:rsidDel="00000000" w:rsidP="00000000" w:rsidRDefault="00000000" w:rsidRPr="00000000" w14:paraId="00000035">
            <w:pPr>
              <w:rPr/>
            </w:pPr>
            <w:r w:rsidDel="00000000" w:rsidR="00000000" w:rsidRPr="00000000">
              <w:rPr>
                <w:rtl w:val="0"/>
              </w:rPr>
              <w:t xml:space="preserve">munsone@purdue.edu</w:t>
            </w:r>
          </w:p>
        </w:tc>
      </w:tr>
      <w:tr>
        <w:trPr>
          <w:cantSplit w:val="0"/>
          <w:tblHeader w:val="0"/>
        </w:trPr>
        <w:tc>
          <w:tcPr/>
          <w:p w:rsidR="00000000" w:rsidDel="00000000" w:rsidP="00000000" w:rsidRDefault="00000000" w:rsidRPr="00000000" w14:paraId="00000036">
            <w:pPr>
              <w:rPr/>
            </w:pPr>
            <w:hyperlink r:id="rId22">
              <w:r w:rsidDel="00000000" w:rsidR="00000000" w:rsidRPr="00000000">
                <w:rPr>
                  <w:color w:val="1155cc"/>
                  <w:u w:val="single"/>
                  <w:rtl w:val="0"/>
                </w:rPr>
                <w:t xml:space="preserve">Jukka Rantanen</w:t>
              </w:r>
            </w:hyperlink>
            <w:r w:rsidDel="00000000" w:rsidR="00000000" w:rsidRPr="00000000">
              <w:rPr>
                <w:rtl w:val="0"/>
              </w:rPr>
            </w:r>
          </w:p>
        </w:tc>
        <w:tc>
          <w:tcPr/>
          <w:p w:rsidR="00000000" w:rsidDel="00000000" w:rsidP="00000000" w:rsidRDefault="00000000" w:rsidRPr="00000000" w14:paraId="00000037">
            <w:pPr>
              <w:rPr/>
            </w:pPr>
            <w:r w:rsidDel="00000000" w:rsidR="00000000" w:rsidRPr="00000000">
              <w:rPr>
                <w:rtl w:val="0"/>
              </w:rPr>
              <w:t xml:space="preserve">University of Copenhagen</w:t>
            </w:r>
          </w:p>
        </w:tc>
        <w:tc>
          <w:tcPr/>
          <w:p w:rsidR="00000000" w:rsidDel="00000000" w:rsidP="00000000" w:rsidRDefault="00000000" w:rsidRPr="00000000" w14:paraId="00000038">
            <w:pPr>
              <w:rPr/>
            </w:pPr>
            <w:r w:rsidDel="00000000" w:rsidR="00000000" w:rsidRPr="00000000">
              <w:rPr>
                <w:rtl w:val="0"/>
              </w:rPr>
              <w:t xml:space="preserve">jukka.rantanen@sund.ku.dk</w:t>
            </w:r>
          </w:p>
        </w:tc>
      </w:tr>
      <w:tr>
        <w:trPr>
          <w:cantSplit w:val="0"/>
          <w:tblHeader w:val="0"/>
        </w:trPr>
        <w:tc>
          <w:tcPr/>
          <w:p w:rsidR="00000000" w:rsidDel="00000000" w:rsidP="00000000" w:rsidRDefault="00000000" w:rsidRPr="00000000" w14:paraId="00000039">
            <w:pPr>
              <w:rPr/>
            </w:pPr>
            <w:hyperlink r:id="rId23">
              <w:r w:rsidDel="00000000" w:rsidR="00000000" w:rsidRPr="00000000">
                <w:rPr>
                  <w:color w:val="1155cc"/>
                  <w:u w:val="single"/>
                  <w:rtl w:val="0"/>
                </w:rPr>
                <w:t xml:space="preserve">Peter Wildfong</w:t>
              </w:r>
            </w:hyperlink>
            <w:r w:rsidDel="00000000" w:rsidR="00000000" w:rsidRPr="00000000">
              <w:rPr>
                <w:rtl w:val="0"/>
              </w:rPr>
            </w:r>
          </w:p>
        </w:tc>
        <w:tc>
          <w:tcPr/>
          <w:p w:rsidR="00000000" w:rsidDel="00000000" w:rsidP="00000000" w:rsidRDefault="00000000" w:rsidRPr="00000000" w14:paraId="0000003A">
            <w:pPr>
              <w:rPr/>
            </w:pPr>
            <w:r w:rsidDel="00000000" w:rsidR="00000000" w:rsidRPr="00000000">
              <w:rPr>
                <w:rtl w:val="0"/>
              </w:rPr>
              <w:t xml:space="preserve">Duquesne University</w:t>
            </w:r>
          </w:p>
        </w:tc>
        <w:tc>
          <w:tcPr/>
          <w:p w:rsidR="00000000" w:rsidDel="00000000" w:rsidP="00000000" w:rsidRDefault="00000000" w:rsidRPr="00000000" w14:paraId="0000003B">
            <w:pPr>
              <w:rPr/>
            </w:pPr>
            <w:r w:rsidDel="00000000" w:rsidR="00000000" w:rsidRPr="00000000">
              <w:rPr>
                <w:rtl w:val="0"/>
              </w:rPr>
              <w:t xml:space="preserve">wildfongp@duq.edu</w:t>
            </w:r>
          </w:p>
        </w:tc>
      </w:tr>
      <w:tr>
        <w:trPr>
          <w:cantSplit w:val="0"/>
          <w:tblHeader w:val="0"/>
        </w:trPr>
        <w:tc>
          <w:tcPr/>
          <w:p w:rsidR="00000000" w:rsidDel="00000000" w:rsidP="00000000" w:rsidRDefault="00000000" w:rsidRPr="00000000" w14:paraId="0000003C">
            <w:pPr>
              <w:rPr/>
            </w:pPr>
            <w:hyperlink r:id="rId24">
              <w:r w:rsidDel="00000000" w:rsidR="00000000" w:rsidRPr="00000000">
                <w:rPr>
                  <w:color w:val="1155cc"/>
                  <w:u w:val="single"/>
                  <w:rtl w:val="0"/>
                </w:rPr>
                <w:t xml:space="preserve">William Jones</w:t>
              </w:r>
            </w:hyperlink>
            <w:r w:rsidDel="00000000" w:rsidR="00000000" w:rsidRPr="00000000">
              <w:rPr>
                <w:rtl w:val="0"/>
              </w:rPr>
            </w:r>
          </w:p>
        </w:tc>
        <w:tc>
          <w:tcPr/>
          <w:p w:rsidR="00000000" w:rsidDel="00000000" w:rsidP="00000000" w:rsidRDefault="00000000" w:rsidRPr="00000000" w14:paraId="0000003D">
            <w:pPr>
              <w:rPr/>
            </w:pPr>
            <w:r w:rsidDel="00000000" w:rsidR="00000000" w:rsidRPr="00000000">
              <w:rPr>
                <w:rtl w:val="0"/>
              </w:rPr>
              <w:t xml:space="preserve">University of Cambridge</w:t>
            </w:r>
          </w:p>
        </w:tc>
        <w:tc>
          <w:tcPr/>
          <w:p w:rsidR="00000000" w:rsidDel="00000000" w:rsidP="00000000" w:rsidRDefault="00000000" w:rsidRPr="00000000" w14:paraId="0000003E">
            <w:pPr>
              <w:rPr/>
            </w:pPr>
            <w:r w:rsidDel="00000000" w:rsidR="00000000" w:rsidRPr="00000000">
              <w:rPr>
                <w:rtl w:val="0"/>
              </w:rPr>
              <w:t xml:space="preserve">wj10@cam.ac.uk</w:t>
            </w:r>
          </w:p>
        </w:tc>
      </w:tr>
      <w:tr>
        <w:trPr>
          <w:cantSplit w:val="0"/>
          <w:tblHeader w:val="0"/>
        </w:trPr>
        <w:tc>
          <w:tcPr/>
          <w:p w:rsidR="00000000" w:rsidDel="00000000" w:rsidP="00000000" w:rsidRDefault="00000000" w:rsidRPr="00000000" w14:paraId="0000003F">
            <w:pPr>
              <w:rPr/>
            </w:pPr>
            <w:hyperlink r:id="rId25">
              <w:r w:rsidDel="00000000" w:rsidR="00000000" w:rsidRPr="00000000">
                <w:rPr>
                  <w:color w:val="1155cc"/>
                  <w:u w:val="single"/>
                  <w:rtl w:val="0"/>
                </w:rPr>
                <w:t xml:space="preserve">Adam Michalchuk</w:t>
              </w:r>
            </w:hyperlink>
            <w:r w:rsidDel="00000000" w:rsidR="00000000" w:rsidRPr="00000000">
              <w:rPr>
                <w:rtl w:val="0"/>
              </w:rPr>
            </w:r>
          </w:p>
        </w:tc>
        <w:tc>
          <w:tcPr/>
          <w:p w:rsidR="00000000" w:rsidDel="00000000" w:rsidP="00000000" w:rsidRDefault="00000000" w:rsidRPr="00000000" w14:paraId="00000040">
            <w:pPr>
              <w:rPr/>
            </w:pPr>
            <w:r w:rsidDel="00000000" w:rsidR="00000000" w:rsidRPr="00000000">
              <w:rPr>
                <w:rtl w:val="0"/>
              </w:rPr>
              <w:t xml:space="preserve">University of Birmingham</w:t>
            </w:r>
          </w:p>
        </w:tc>
        <w:tc>
          <w:tcPr/>
          <w:p w:rsidR="00000000" w:rsidDel="00000000" w:rsidP="00000000" w:rsidRDefault="00000000" w:rsidRPr="00000000" w14:paraId="00000041">
            <w:pPr>
              <w:rPr/>
            </w:pPr>
            <w:r w:rsidDel="00000000" w:rsidR="00000000" w:rsidRPr="00000000">
              <w:rPr>
                <w:rtl w:val="0"/>
              </w:rPr>
              <w:t xml:space="preserve">a.a.l.michalchuk@bham.ac.uk</w:t>
            </w:r>
          </w:p>
        </w:tc>
      </w:tr>
    </w:tbl>
    <w:p w:rsidR="00000000" w:rsidDel="00000000" w:rsidP="00000000" w:rsidRDefault="00000000" w:rsidRPr="00000000" w14:paraId="00000042">
      <w:pPr>
        <w:rPr/>
      </w:pPr>
      <w:r w:rsidDel="00000000" w:rsidR="00000000" w:rsidRPr="00000000">
        <w:rPr>
          <w:rtl w:val="0"/>
        </w:rPr>
      </w:r>
    </w:p>
    <w:tbl>
      <w:tblPr>
        <w:tblStyle w:val="Table3"/>
        <w:tblW w:w="89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15"/>
        <w:gridCol w:w="4590"/>
        <w:tblGridChange w:id="0">
          <w:tblGrid>
            <w:gridCol w:w="4315"/>
            <w:gridCol w:w="4590"/>
          </w:tblGrid>
        </w:tblGridChange>
      </w:tblGrid>
      <w:tr>
        <w:trPr>
          <w:cantSplit w:val="0"/>
          <w:tblHeader w:val="0"/>
        </w:trPr>
        <w:tc>
          <w:tcPr>
            <w:gridSpan w:val="2"/>
          </w:tcPr>
          <w:p w:rsidR="00000000" w:rsidDel="00000000" w:rsidP="00000000" w:rsidRDefault="00000000" w:rsidRPr="00000000" w14:paraId="00000043">
            <w:pPr>
              <w:jc w:val="center"/>
              <w:rPr>
                <w:b w:val="1"/>
              </w:rPr>
            </w:pPr>
            <w:r w:rsidDel="00000000" w:rsidR="00000000" w:rsidRPr="00000000">
              <w:rPr>
                <w:b w:val="1"/>
                <w:rtl w:val="0"/>
              </w:rPr>
              <w:t xml:space="preserve">Submitted By:</w:t>
            </w:r>
          </w:p>
        </w:tc>
      </w:tr>
      <w:tr>
        <w:trPr>
          <w:cantSplit w:val="0"/>
          <w:tblHeader w:val="0"/>
        </w:trPr>
        <w:tc>
          <w:tcPr/>
          <w:p w:rsidR="00000000" w:rsidDel="00000000" w:rsidP="00000000" w:rsidRDefault="00000000" w:rsidRPr="00000000" w14:paraId="00000045">
            <w:pPr>
              <w:jc w:val="center"/>
              <w:rPr>
                <w:b w:val="1"/>
              </w:rPr>
            </w:pPr>
            <w:r w:rsidDel="00000000" w:rsidR="00000000" w:rsidRPr="00000000">
              <w:rPr>
                <w:b w:val="1"/>
                <w:rtl w:val="0"/>
              </w:rPr>
              <w:t xml:space="preserve">Name</w:t>
            </w:r>
          </w:p>
        </w:tc>
        <w:tc>
          <w:tcPr/>
          <w:p w:rsidR="00000000" w:rsidDel="00000000" w:rsidP="00000000" w:rsidRDefault="00000000" w:rsidRPr="00000000" w14:paraId="00000046">
            <w:pPr>
              <w:jc w:val="center"/>
              <w:rPr>
                <w:b w:val="1"/>
              </w:rPr>
            </w:pPr>
            <w:r w:rsidDel="00000000" w:rsidR="00000000" w:rsidRPr="00000000">
              <w:rPr>
                <w:b w:val="1"/>
                <w:rtl w:val="0"/>
              </w:rPr>
              <w:t xml:space="preserve">Organization</w:t>
            </w:r>
          </w:p>
        </w:tc>
      </w:tr>
      <w:tr>
        <w:trPr>
          <w:cantSplit w:val="0"/>
          <w:tblHeader w:val="0"/>
        </w:trPr>
        <w:tc>
          <w:tcPr/>
          <w:p w:rsidR="00000000" w:rsidDel="00000000" w:rsidP="00000000" w:rsidRDefault="00000000" w:rsidRPr="00000000" w14:paraId="00000047">
            <w:pPr>
              <w:rPr/>
            </w:pPr>
            <w:r w:rsidDel="00000000" w:rsidR="00000000" w:rsidRPr="00000000">
              <w:rPr>
                <w:rtl w:val="0"/>
              </w:rPr>
              <w:t xml:space="preserve">Michael Juhnke</w:t>
            </w:r>
          </w:p>
        </w:tc>
        <w:tc>
          <w:tcPr/>
          <w:p w:rsidR="00000000" w:rsidDel="00000000" w:rsidP="00000000" w:rsidRDefault="00000000" w:rsidRPr="00000000" w14:paraId="00000048">
            <w:pPr>
              <w:rPr/>
            </w:pPr>
            <w:r w:rsidDel="00000000" w:rsidR="00000000" w:rsidRPr="00000000">
              <w:rPr>
                <w:rtl w:val="0"/>
              </w:rPr>
              <w:t xml:space="preserve">F. Hoffmann-La Roche</w:t>
            </w:r>
          </w:p>
        </w:tc>
      </w:tr>
      <w:tr>
        <w:trPr>
          <w:cantSplit w:val="0"/>
          <w:tblHeader w:val="0"/>
        </w:trPr>
        <w:tc>
          <w:tcPr/>
          <w:p w:rsidR="00000000" w:rsidDel="00000000" w:rsidP="00000000" w:rsidRDefault="00000000" w:rsidRPr="00000000" w14:paraId="00000049">
            <w:pPr>
              <w:rPr/>
            </w:pPr>
            <w:r w:rsidDel="00000000" w:rsidR="00000000" w:rsidRPr="00000000">
              <w:rPr>
                <w:rtl w:val="0"/>
              </w:rPr>
              <w:t xml:space="preserve">John Hone</w:t>
            </w:r>
          </w:p>
        </w:tc>
        <w:tc>
          <w:tcPr/>
          <w:p w:rsidR="00000000" w:rsidDel="00000000" w:rsidP="00000000" w:rsidRDefault="00000000" w:rsidRPr="00000000" w14:paraId="0000004A">
            <w:pPr>
              <w:rPr/>
            </w:pPr>
            <w:r w:rsidDel="00000000" w:rsidR="00000000" w:rsidRPr="00000000">
              <w:rPr>
                <w:rtl w:val="0"/>
              </w:rPr>
              <w:t xml:space="preserve">Syngenta</w:t>
            </w:r>
          </w:p>
        </w:tc>
      </w:tr>
      <w:tr>
        <w:trPr>
          <w:cantSplit w:val="0"/>
          <w:tblHeader w:val="0"/>
        </w:trPr>
        <w:tc>
          <w:tcPr/>
          <w:p w:rsidR="00000000" w:rsidDel="00000000" w:rsidP="00000000" w:rsidRDefault="00000000" w:rsidRPr="00000000" w14:paraId="0000004B">
            <w:pPr>
              <w:rPr/>
            </w:pPr>
            <w:r w:rsidDel="00000000" w:rsidR="00000000" w:rsidRPr="00000000">
              <w:rPr>
                <w:rtl w:val="0"/>
              </w:rPr>
              <w:t xml:space="preserve">Oliver Gutsche</w:t>
            </w:r>
          </w:p>
        </w:tc>
        <w:tc>
          <w:tcPr/>
          <w:p w:rsidR="00000000" w:rsidDel="00000000" w:rsidP="00000000" w:rsidRDefault="00000000" w:rsidRPr="00000000" w14:paraId="0000004C">
            <w:pPr>
              <w:rPr/>
            </w:pPr>
            <w:r w:rsidDel="00000000" w:rsidR="00000000" w:rsidRPr="00000000">
              <w:rPr>
                <w:rtl w:val="0"/>
              </w:rPr>
              <w:t xml:space="preserve">FMC</w:t>
            </w:r>
          </w:p>
        </w:tc>
      </w:tr>
      <w:tr>
        <w:trPr>
          <w:cantSplit w:val="0"/>
          <w:tblHeader w:val="0"/>
        </w:trPr>
        <w:tc>
          <w:tcPr/>
          <w:p w:rsidR="00000000" w:rsidDel="00000000" w:rsidP="00000000" w:rsidRDefault="00000000" w:rsidRPr="00000000" w14:paraId="0000004D">
            <w:pPr>
              <w:rPr/>
            </w:pPr>
            <w:r w:rsidDel="00000000" w:rsidR="00000000" w:rsidRPr="00000000">
              <w:rPr>
                <w:rtl w:val="0"/>
              </w:rPr>
            </w:r>
          </w:p>
        </w:tc>
        <w:tc>
          <w:tcPr/>
          <w:p w:rsidR="00000000" w:rsidDel="00000000" w:rsidP="00000000" w:rsidRDefault="00000000" w:rsidRPr="00000000" w14:paraId="0000004E">
            <w:pPr>
              <w:rPr/>
            </w:pPr>
            <w:r w:rsidDel="00000000" w:rsidR="00000000" w:rsidRPr="00000000">
              <w:rPr>
                <w:rtl w:val="0"/>
              </w:rPr>
            </w:r>
          </w:p>
        </w:tc>
      </w:tr>
      <w:tr>
        <w:trPr>
          <w:cantSplit w:val="0"/>
          <w:tblHeader w:val="0"/>
        </w:trPr>
        <w:tc>
          <w:tcPr/>
          <w:p w:rsidR="00000000" w:rsidDel="00000000" w:rsidP="00000000" w:rsidRDefault="00000000" w:rsidRPr="00000000" w14:paraId="0000004F">
            <w:pPr>
              <w:rPr/>
            </w:pPr>
            <w:r w:rsidDel="00000000" w:rsidR="00000000" w:rsidRPr="00000000">
              <w:rPr>
                <w:rtl w:val="0"/>
              </w:rPr>
            </w:r>
          </w:p>
        </w:tc>
        <w:tc>
          <w:tcPr/>
          <w:p w:rsidR="00000000" w:rsidDel="00000000" w:rsidP="00000000" w:rsidRDefault="00000000" w:rsidRPr="00000000" w14:paraId="00000050">
            <w:pPr>
              <w:rPr/>
            </w:pPr>
            <w:r w:rsidDel="00000000" w:rsidR="00000000" w:rsidRPr="00000000">
              <w:rPr>
                <w:rtl w:val="0"/>
              </w:rPr>
            </w:r>
          </w:p>
        </w:tc>
      </w:tr>
      <w:tr>
        <w:trPr>
          <w:cantSplit w:val="0"/>
          <w:tblHeader w:val="0"/>
        </w:trPr>
        <w:tc>
          <w:tcPr/>
          <w:p w:rsidR="00000000" w:rsidDel="00000000" w:rsidP="00000000" w:rsidRDefault="00000000" w:rsidRPr="00000000" w14:paraId="00000051">
            <w:pPr>
              <w:rPr/>
            </w:pPr>
            <w:r w:rsidDel="00000000" w:rsidR="00000000" w:rsidRPr="00000000">
              <w:rPr>
                <w:rtl w:val="0"/>
              </w:rPr>
            </w:r>
          </w:p>
        </w:tc>
        <w:tc>
          <w:tcPr/>
          <w:p w:rsidR="00000000" w:rsidDel="00000000" w:rsidP="00000000" w:rsidRDefault="00000000" w:rsidRPr="00000000" w14:paraId="00000052">
            <w:pPr>
              <w:rPr/>
            </w:pPr>
            <w:r w:rsidDel="00000000" w:rsidR="00000000" w:rsidRPr="00000000">
              <w:rPr>
                <w:rtl w:val="0"/>
              </w:rPr>
            </w:r>
          </w:p>
        </w:tc>
      </w:tr>
      <w:tr>
        <w:trPr>
          <w:cantSplit w:val="0"/>
          <w:tblHeader w:val="0"/>
        </w:trPr>
        <w:tc>
          <w:tcPr/>
          <w:p w:rsidR="00000000" w:rsidDel="00000000" w:rsidP="00000000" w:rsidRDefault="00000000" w:rsidRPr="00000000" w14:paraId="00000053">
            <w:pPr>
              <w:rPr/>
            </w:pPr>
            <w:r w:rsidDel="00000000" w:rsidR="00000000" w:rsidRPr="00000000">
              <w:rPr>
                <w:rtl w:val="0"/>
              </w:rPr>
            </w:r>
          </w:p>
        </w:tc>
        <w:tc>
          <w:tcPr/>
          <w:p w:rsidR="00000000" w:rsidDel="00000000" w:rsidP="00000000" w:rsidRDefault="00000000" w:rsidRPr="00000000" w14:paraId="00000054">
            <w:pPr>
              <w:rPr/>
            </w:pPr>
            <w:r w:rsidDel="00000000" w:rsidR="00000000" w:rsidRPr="00000000">
              <w:rPr>
                <w:rtl w:val="0"/>
              </w:rPr>
            </w:r>
          </w:p>
        </w:tc>
      </w:tr>
    </w:tbl>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sectPr>
      <w:headerReference r:id="rId26" w:type="default"/>
      <w:headerReference r:id="rId27" w:type="first"/>
      <w:footerReference r:id="rId28" w:type="default"/>
      <w:pgSz w:h="15840" w:w="12240" w:orient="portrait"/>
      <w:pgMar w:bottom="1440" w:top="1440" w:left="1800" w:right="180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Gothic"/>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tabs>
        <w:tab w:val="left" w:leader="none" w:pos="3480"/>
        <w:tab w:val="left" w:leader="none" w:pos="3645"/>
      </w:tabs>
      <w:rPr/>
    </w:pPr>
    <w:r w:rsidDel="00000000" w:rsidR="00000000" w:rsidRPr="00000000">
      <w:rPr>
        <w:rtl w:val="0"/>
      </w:rPr>
      <w:tab/>
      <w:t xml:space="preserve">Template v.1.0 - RB</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Title used in meeting agendas and file archives</w:t>
      </w:r>
    </w:p>
  </w:footnote>
  <w:footnote w:id="1">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One or more from the following list:  W = wet systems; D = dry systems; F = particle formation; SR = size reduction; M = modeling; SE = systems engineering</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jc w:val="center"/>
      <w:rPr>
        <w:b w:val="1"/>
        <w:smallCaps w:val="1"/>
        <w:sz w:val="28"/>
        <w:szCs w:val="2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jc w:val="center"/>
      <w:rPr>
        <w:b w:val="1"/>
        <w:smallCaps w:val="1"/>
        <w:sz w:val="28"/>
        <w:szCs w:val="28"/>
      </w:rPr>
    </w:pPr>
    <w:r w:rsidDel="00000000" w:rsidR="00000000" w:rsidRPr="00000000">
      <w:rPr>
        <w:b w:val="1"/>
        <w:smallCaps w:val="1"/>
        <w:sz w:val="28"/>
        <w:szCs w:val="28"/>
      </w:rPr>
      <w:drawing>
        <wp:inline distB="0" distT="0" distL="0" distR="0">
          <wp:extent cx="1620476" cy="684827"/>
          <wp:effectExtent b="0" l="0" r="0" t="0"/>
          <wp:docPr descr="C:\Users\Home\Google Drive\IFPRI\Logos\newlogov1.jpg" id="4" name="image1.jpg"/>
          <a:graphic>
            <a:graphicData uri="http://schemas.openxmlformats.org/drawingml/2006/picture">
              <pic:pic>
                <pic:nvPicPr>
                  <pic:cNvPr descr="C:\Users\Home\Google Drive\IFPRI\Logos\newlogov1.jpg" id="0" name="image1.jpg"/>
                  <pic:cNvPicPr preferRelativeResize="0"/>
                </pic:nvPicPr>
                <pic:blipFill>
                  <a:blip r:embed="rId1"/>
                  <a:srcRect b="0" l="0" r="0" t="0"/>
                  <a:stretch>
                    <a:fillRect/>
                  </a:stretch>
                </pic:blipFill>
                <pic:spPr>
                  <a:xfrm>
                    <a:off x="0" y="0"/>
                    <a:ext cx="1620476" cy="684827"/>
                  </a:xfrm>
                  <a:prstGeom prst="rect"/>
                  <a:ln/>
                </pic:spPr>
              </pic:pic>
            </a:graphicData>
          </a:graphic>
        </wp:inline>
      </w:drawing>
    </w:r>
    <w:r w:rsidDel="00000000" w:rsidR="00000000" w:rsidRPr="00000000">
      <w:rPr>
        <w:rtl w:val="0"/>
      </w:rPr>
    </w:r>
  </w:p>
  <w:p w:rsidR="00000000" w:rsidDel="00000000" w:rsidP="00000000" w:rsidRDefault="00000000" w:rsidRPr="00000000" w14:paraId="0000005B">
    <w:pPr>
      <w:jc w:val="center"/>
      <w:rPr>
        <w:b w:val="1"/>
        <w:smallCaps w:val="1"/>
        <w:sz w:val="28"/>
        <w:szCs w:val="28"/>
      </w:rPr>
    </w:pPr>
    <w:r w:rsidDel="00000000" w:rsidR="00000000" w:rsidRPr="00000000">
      <w:rPr>
        <w:b w:val="1"/>
        <w:smallCaps w:val="1"/>
        <w:sz w:val="28"/>
        <w:szCs w:val="28"/>
        <w:rtl w:val="0"/>
      </w:rPr>
      <w:t xml:space="preserve">IFPRI  Brief Template</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lang w:eastAsia="ko-KR"/>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erChar" w:customStyle="1">
    <w:name w:val="Header Char"/>
    <w:basedOn w:val="DefaultParagraphFont"/>
    <w:link w:val="Header"/>
    <w:uiPriority w:val="99"/>
    <w:rsid w:val="00854B50"/>
    <w:rPr>
      <w:sz w:val="24"/>
      <w:szCs w:val="24"/>
      <w:lang w:eastAsia="ko-KR"/>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FootnoteText">
    <w:name w:val="footnote text"/>
    <w:basedOn w:val="Normal"/>
    <w:link w:val="FootnoteTextChar"/>
    <w:rsid w:val="000E4F36"/>
    <w:rPr>
      <w:sz w:val="20"/>
      <w:szCs w:val="20"/>
    </w:rPr>
  </w:style>
  <w:style w:type="character" w:styleId="FootnoteTextChar" w:customStyle="1">
    <w:name w:val="Footnote Text Char"/>
    <w:basedOn w:val="DefaultParagraphFont"/>
    <w:link w:val="FootnoteText"/>
    <w:rsid w:val="000E4F36"/>
    <w:rPr>
      <w:lang w:eastAsia="ko-KR"/>
    </w:rPr>
  </w:style>
  <w:style w:type="character" w:styleId="FootnoteReference">
    <w:name w:val="footnote reference"/>
    <w:basedOn w:val="DefaultParagraphFont"/>
    <w:rsid w:val="000E4F36"/>
    <w:rPr>
      <w:vertAlign w:val="superscript"/>
    </w:rPr>
  </w:style>
  <w:style w:type="table" w:styleId="TableGrid">
    <w:name w:val="Table Grid"/>
    <w:basedOn w:val="TableNormal"/>
    <w:rsid w:val="001D3FB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rsid w:val="00055F8B"/>
    <w:rPr>
      <w:color w:val="0563c1" w:themeColor="hyperlink"/>
      <w:u w:val="single"/>
    </w:rPr>
  </w:style>
  <w:style w:type="character" w:styleId="UnresolvedMention">
    <w:name w:val="Unresolved Mention"/>
    <w:basedOn w:val="DefaultParagraphFont"/>
    <w:uiPriority w:val="99"/>
    <w:semiHidden w:val="1"/>
    <w:unhideWhenUsed w:val="1"/>
    <w:rsid w:val="00055F8B"/>
    <w:rPr>
      <w:color w:val="605e5c"/>
      <w:shd w:color="auto" w:fill="e1dfdd" w:val="clear"/>
    </w:rPr>
  </w:style>
  <w:style w:type="character" w:styleId="FollowedHyperlink">
    <w:name w:val="FollowedHyperlink"/>
    <w:basedOn w:val="DefaultParagraphFont"/>
    <w:rsid w:val="00055F8B"/>
    <w:rPr>
      <w:color w:val="954f72" w:themeColor="followedHyperlink"/>
      <w:u w:val="single"/>
    </w:rPr>
  </w:style>
  <w:style w:type="paragraph" w:styleId="ListParagraph">
    <w:name w:val="List Paragraph"/>
    <w:basedOn w:val="Normal"/>
    <w:uiPriority w:val="34"/>
    <w:qFormat w:val="1"/>
    <w:rsid w:val="00205810"/>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pharmacy.umn.edu/our-faculty-staff/our-faculty/raj-suryanarayanan" TargetMode="External"/><Relationship Id="rId22" Type="http://schemas.openxmlformats.org/officeDocument/2006/relationships/hyperlink" Target="https://researchprofiles.ku.dk/en/persons/jukka-rantanen" TargetMode="External"/><Relationship Id="rId21" Type="http://schemas.openxmlformats.org/officeDocument/2006/relationships/hyperlink" Target="https://www.imph.purdue.edu/faculty/munsone" TargetMode="External"/><Relationship Id="rId24" Type="http://schemas.openxmlformats.org/officeDocument/2006/relationships/hyperlink" Target="https://www.ch.cam.ac.uk/person/wj10" TargetMode="External"/><Relationship Id="rId23" Type="http://schemas.openxmlformats.org/officeDocument/2006/relationships/hyperlink" Target="https://www.duq.edu/faculty-and-staff/peter-wildfong.ph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doi.org/10.1021/cr030697h" TargetMode="External"/><Relationship Id="rId26" Type="http://schemas.openxmlformats.org/officeDocument/2006/relationships/header" Target="header1.xml"/><Relationship Id="rId25" Type="http://schemas.openxmlformats.org/officeDocument/2006/relationships/hyperlink" Target="https://www.birmingham.ac.uk/staff/profiles/chemistry/michalchuk-adam" TargetMode="External"/><Relationship Id="rId28" Type="http://schemas.openxmlformats.org/officeDocument/2006/relationships/footer" Target="footer1.xml"/><Relationship Id="rId27"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doi.org/10.1021/cr030697h" TargetMode="External"/><Relationship Id="rId11" Type="http://schemas.openxmlformats.org/officeDocument/2006/relationships/hyperlink" Target="https://doi.org/10.1134/S1019331618020016" TargetMode="External"/><Relationship Id="rId10" Type="http://schemas.openxmlformats.org/officeDocument/2006/relationships/hyperlink" Target="https://doi.org/10.1021/cr030697h" TargetMode="External"/><Relationship Id="rId13" Type="http://schemas.openxmlformats.org/officeDocument/2006/relationships/hyperlink" Target="https://doi.org/10.1134/S1019331618020016" TargetMode="External"/><Relationship Id="rId12" Type="http://schemas.openxmlformats.org/officeDocument/2006/relationships/hyperlink" Target="https://doi.org/10.1134/S1019331618020016" TargetMode="External"/><Relationship Id="rId15" Type="http://schemas.openxmlformats.org/officeDocument/2006/relationships/hyperlink" Target="https://doi.org/10.1016/j.addr.2016.01.011" TargetMode="External"/><Relationship Id="rId14" Type="http://schemas.openxmlformats.org/officeDocument/2006/relationships/hyperlink" Target="https://doi.org/10.1016/j.addr.2016.01.011" TargetMode="External"/><Relationship Id="rId17" Type="http://schemas.openxmlformats.org/officeDocument/2006/relationships/hyperlink" Target="https://doi.org/10.1016/j.xphs.2023.02.019" TargetMode="External"/><Relationship Id="rId16" Type="http://schemas.openxmlformats.org/officeDocument/2006/relationships/hyperlink" Target="https://doi.org/10.1016/j.addr.2016.01.011" TargetMode="External"/><Relationship Id="rId19" Type="http://schemas.openxmlformats.org/officeDocument/2006/relationships/hyperlink" Target="https://doi.org/10.1016/j.xphs.2023.02.019" TargetMode="External"/><Relationship Id="rId18" Type="http://schemas.openxmlformats.org/officeDocument/2006/relationships/hyperlink" Target="https://doi.org/10.1016/j.xphs.2023.02.01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908dSRkuEES28aKGUEzvAEMARg==">CgMxLjA4AHIhMVJGdmNpNHlnNlBDcU5kLUlJWTdScDBWOWNlQnF2QW5C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2025-06-13T13:29:00Z</dcterms:created>
  <dc:creator>Boerefijn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