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ind w:right="-180"/>
        <w:rPr>
          <w:b w:val="1"/>
        </w:rPr>
      </w:pPr>
      <w:r w:rsidDel="00000000" w:rsidR="00000000" w:rsidRPr="00000000">
        <w:rPr>
          <w:b w:val="1"/>
          <w:rtl w:val="0"/>
        </w:rPr>
        <w:t xml:space="preserve">Check One:    </w:t>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Project</w:t>
        <w:tab/>
        <w:tab/>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Review</w:t>
        <w:tab/>
        <w:tab/>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Collaboration</w:t>
      </w:r>
    </w:p>
    <w:p w:rsidR="00000000" w:rsidDel="00000000" w:rsidP="00000000" w:rsidRDefault="00000000" w:rsidRPr="00000000" w14:paraId="00000003">
      <w:pPr>
        <w:ind w:right="-180"/>
        <w:rPr>
          <w:b w:val="1"/>
        </w:rPr>
      </w:pPr>
      <w:r w:rsidDel="00000000" w:rsidR="00000000" w:rsidRPr="00000000">
        <w:rPr>
          <w:b w:val="1"/>
          <w:rtl w:val="0"/>
        </w:rPr>
        <w:tab/>
        <w:tab/>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Workshop</w:t>
        <w:tab/>
        <w:tab/>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Other</w:t>
      </w:r>
    </w:p>
    <w:p w:rsidR="00000000" w:rsidDel="00000000" w:rsidP="00000000" w:rsidRDefault="00000000" w:rsidRPr="00000000" w14:paraId="00000004">
      <w:pPr>
        <w:ind w:right="-90"/>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tbl>
      <w:tblPr>
        <w:tblStyle w:val="Table1"/>
        <w:tblW w:w="89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65"/>
        <w:gridCol w:w="6840"/>
        <w:tblGridChange w:id="0">
          <w:tblGrid>
            <w:gridCol w:w="2065"/>
            <w:gridCol w:w="6840"/>
          </w:tblGrid>
        </w:tblGridChange>
      </w:tblGrid>
      <w:tr>
        <w:trPr>
          <w:cantSplit w:val="0"/>
          <w:tblHeader w:val="0"/>
        </w:trPr>
        <w:tc>
          <w:tcPr/>
          <w:p w:rsidR="00000000" w:rsidDel="00000000" w:rsidP="00000000" w:rsidRDefault="00000000" w:rsidRPr="00000000" w14:paraId="00000006">
            <w:pPr>
              <w:rPr>
                <w:b w:val="1"/>
              </w:rPr>
            </w:pPr>
            <w:r w:rsidDel="00000000" w:rsidR="00000000" w:rsidRPr="00000000">
              <w:rPr>
                <w:b w:val="1"/>
                <w:rtl w:val="0"/>
              </w:rPr>
              <w:t xml:space="preserve">Descriptive Title</w:t>
            </w:r>
          </w:p>
        </w:tc>
        <w:tc>
          <w:tcPr/>
          <w:p w:rsidR="00000000" w:rsidDel="00000000" w:rsidP="00000000" w:rsidRDefault="00000000" w:rsidRPr="00000000" w14:paraId="00000007">
            <w:pPr>
              <w:rPr/>
            </w:pPr>
            <w:r w:rsidDel="00000000" w:rsidR="00000000" w:rsidRPr="00000000">
              <w:rPr>
                <w:rtl w:val="0"/>
              </w:rPr>
              <w:t xml:space="preserve">Triboelectric charging: fundamental mechanisms, mitigation control and preventative strategies </w:t>
            </w:r>
          </w:p>
        </w:tc>
      </w:tr>
      <w:tr>
        <w:trPr>
          <w:cantSplit w:val="0"/>
          <w:tblHeader w:val="0"/>
        </w:trPr>
        <w:tc>
          <w:tcPr/>
          <w:p w:rsidR="00000000" w:rsidDel="00000000" w:rsidP="00000000" w:rsidRDefault="00000000" w:rsidRPr="00000000" w14:paraId="00000008">
            <w:pPr>
              <w:rPr>
                <w:b w:val="1"/>
              </w:rPr>
            </w:pPr>
            <w:r w:rsidDel="00000000" w:rsidR="00000000" w:rsidRPr="00000000">
              <w:rPr>
                <w:b w:val="1"/>
                <w:rtl w:val="0"/>
              </w:rPr>
              <w:t xml:space="preserve">Working Title</w:t>
            </w:r>
            <w:r w:rsidDel="00000000" w:rsidR="00000000" w:rsidRPr="00000000">
              <w:rPr>
                <w:b w:val="1"/>
                <w:vertAlign w:val="superscript"/>
              </w:rPr>
              <w:footnoteReference w:customMarkFollows="0" w:id="0"/>
            </w:r>
            <w:r w:rsidDel="00000000" w:rsidR="00000000" w:rsidRPr="00000000">
              <w:rPr>
                <w:rtl w:val="0"/>
              </w:rPr>
            </w:r>
          </w:p>
        </w:tc>
        <w:tc>
          <w:tcPr/>
          <w:p w:rsidR="00000000" w:rsidDel="00000000" w:rsidP="00000000" w:rsidRDefault="00000000" w:rsidRPr="00000000" w14:paraId="00000009">
            <w:pPr>
              <w:rPr/>
            </w:pPr>
            <w:r w:rsidDel="00000000" w:rsidR="00000000" w:rsidRPr="00000000">
              <w:rPr>
                <w:rtl w:val="0"/>
              </w:rPr>
              <w:t xml:space="preserve">Triboelectric charging workshop 2027</w:t>
            </w:r>
          </w:p>
        </w:tc>
      </w:tr>
      <w:tr>
        <w:trPr>
          <w:cantSplit w:val="0"/>
          <w:tblHeader w:val="0"/>
        </w:trPr>
        <w:tc>
          <w:tcPr/>
          <w:p w:rsidR="00000000" w:rsidDel="00000000" w:rsidP="00000000" w:rsidRDefault="00000000" w:rsidRPr="00000000" w14:paraId="0000000A">
            <w:pPr>
              <w:rPr>
                <w:b w:val="1"/>
              </w:rPr>
            </w:pPr>
            <w:r w:rsidDel="00000000" w:rsidR="00000000" w:rsidRPr="00000000">
              <w:rPr>
                <w:b w:val="1"/>
                <w:rtl w:val="0"/>
              </w:rPr>
              <w:t xml:space="preserve">Technical Area</w:t>
            </w:r>
            <w:r w:rsidDel="00000000" w:rsidR="00000000" w:rsidRPr="00000000">
              <w:rPr>
                <w:b w:val="1"/>
                <w:vertAlign w:val="superscript"/>
              </w:rPr>
              <w:footnoteReference w:customMarkFollows="0" w:id="1"/>
            </w:r>
            <w:r w:rsidDel="00000000" w:rsidR="00000000" w:rsidRPr="00000000">
              <w:rPr>
                <w:rtl w:val="0"/>
              </w:rPr>
            </w:r>
          </w:p>
        </w:tc>
        <w:tc>
          <w:tcPr/>
          <w:p w:rsidR="00000000" w:rsidDel="00000000" w:rsidP="00000000" w:rsidRDefault="00000000" w:rsidRPr="00000000" w14:paraId="0000000B">
            <w:pPr>
              <w:rPr/>
            </w:pPr>
            <w:r w:rsidDel="00000000" w:rsidR="00000000" w:rsidRPr="00000000">
              <w:rPr>
                <w:rtl w:val="0"/>
              </w:rPr>
              <w:t xml:space="preserve">Characterization &amp; Formation </w:t>
            </w:r>
          </w:p>
        </w:tc>
      </w:tr>
      <w:tr>
        <w:trPr>
          <w:cantSplit w:val="0"/>
          <w:tblHeader w:val="0"/>
        </w:trPr>
        <w:tc>
          <w:tcPr/>
          <w:p w:rsidR="00000000" w:rsidDel="00000000" w:rsidP="00000000" w:rsidRDefault="00000000" w:rsidRPr="00000000" w14:paraId="0000000C">
            <w:pPr>
              <w:rPr>
                <w:b w:val="1"/>
              </w:rPr>
            </w:pPr>
            <w:r w:rsidDel="00000000" w:rsidR="00000000" w:rsidRPr="00000000">
              <w:rPr>
                <w:b w:val="1"/>
                <w:rtl w:val="0"/>
              </w:rPr>
              <w:t xml:space="preserve">Date</w:t>
            </w:r>
          </w:p>
        </w:tc>
        <w:tc>
          <w:tcPr/>
          <w:p w:rsidR="00000000" w:rsidDel="00000000" w:rsidP="00000000" w:rsidRDefault="00000000" w:rsidRPr="00000000" w14:paraId="0000000D">
            <w:pPr>
              <w:rPr/>
            </w:pPr>
            <w:r w:rsidDel="00000000" w:rsidR="00000000" w:rsidRPr="00000000">
              <w:rPr>
                <w:rtl w:val="0"/>
              </w:rPr>
              <w:t xml:space="preserve">16</w:t>
            </w:r>
            <w:r w:rsidDel="00000000" w:rsidR="00000000" w:rsidRPr="00000000">
              <w:rPr>
                <w:vertAlign w:val="superscript"/>
                <w:rtl w:val="0"/>
              </w:rPr>
              <w:t xml:space="preserve">th</w:t>
            </w:r>
            <w:r w:rsidDel="00000000" w:rsidR="00000000" w:rsidRPr="00000000">
              <w:rPr>
                <w:rtl w:val="0"/>
              </w:rPr>
              <w:t xml:space="preserve"> June 2025 </w:t>
            </w:r>
          </w:p>
        </w:tc>
      </w:tr>
      <w:tr>
        <w:trPr>
          <w:cantSplit w:val="0"/>
          <w:tblHeader w:val="0"/>
        </w:trPr>
        <w:tc>
          <w:tcPr/>
          <w:p w:rsidR="00000000" w:rsidDel="00000000" w:rsidP="00000000" w:rsidRDefault="00000000" w:rsidRPr="00000000" w14:paraId="0000000E">
            <w:pPr>
              <w:rPr>
                <w:b w:val="1"/>
              </w:rPr>
            </w:pPr>
            <w:r w:rsidDel="00000000" w:rsidR="00000000" w:rsidRPr="00000000">
              <w:rPr>
                <w:b w:val="1"/>
                <w:rtl w:val="0"/>
              </w:rPr>
              <w:t xml:space="preserve">Short Description</w:t>
            </w:r>
          </w:p>
        </w:tc>
        <w:tc>
          <w:tcPr/>
          <w:p w:rsidR="00000000" w:rsidDel="00000000" w:rsidP="00000000" w:rsidRDefault="00000000" w:rsidRPr="00000000" w14:paraId="0000000F">
            <w:pPr>
              <w:rPr/>
            </w:pPr>
            <w:r w:rsidDel="00000000" w:rsidR="00000000" w:rsidRPr="00000000">
              <w:rPr>
                <w:rtl w:val="0"/>
              </w:rPr>
              <w:t xml:space="preserve">How can we predict the generation of triboelectric charges and discharge them before we see process issues?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Commonly, triboelectric charges build up during processing of powders, granules, pellets and mini-tablets, which cause significant process issues for example: </w:t>
            </w:r>
          </w:p>
          <w:p w:rsidR="00000000" w:rsidDel="00000000" w:rsidP="00000000" w:rsidRDefault="00000000" w:rsidRPr="00000000" w14:paraId="00000012">
            <w:pPr>
              <w:rPr/>
            </w:pPr>
            <w:r w:rsidDel="00000000" w:rsidR="00000000" w:rsidRPr="00000000">
              <w:rPr>
                <w:rtl w:val="0"/>
              </w:rPr>
              <w:t xml:space="preserve">Issues include:</w:t>
            </w:r>
          </w:p>
          <w:p w:rsidR="00000000" w:rsidDel="00000000" w:rsidP="00000000" w:rsidRDefault="00000000" w:rsidRPr="00000000" w14:paraId="00000013">
            <w:pPr>
              <w:rPr/>
            </w:pPr>
            <w:r w:rsidDel="00000000" w:rsidR="00000000" w:rsidRPr="00000000">
              <w:rPr>
                <w:rtl w:val="0"/>
              </w:rPr>
              <w:t xml:space="preserve">Discharging, mixing, coating, filling capsules (encapsulation), filling stickpacks – e.g. where particles stick to each other or are repelled so that further processing is difficult. </w:t>
            </w:r>
          </w:p>
          <w:p w:rsidR="00000000" w:rsidDel="00000000" w:rsidP="00000000" w:rsidRDefault="00000000" w:rsidRPr="00000000" w14:paraId="00000014">
            <w:pPr>
              <w:rPr/>
            </w:pPr>
            <w:r w:rsidDel="00000000" w:rsidR="00000000" w:rsidRPr="00000000">
              <w:rPr>
                <w:rtl w:val="0"/>
              </w:rPr>
              <w:t xml:space="preserve">Rarely charge build up can cause the risk of explosions.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Sensors are available, but foreseen to be used for dust emission measurement, have been described in SAR-29-14, however their applicability for other particles needs to be evaluated.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[reference, IFPRI Critical Review of Tribology, Friction, and Contact Mechanics in Wet Systems, 2024. SAR-46-13]</w:t>
            </w:r>
          </w:p>
          <w:p w:rsidR="00000000" w:rsidDel="00000000" w:rsidP="00000000" w:rsidRDefault="00000000" w:rsidRPr="00000000" w14:paraId="00000019">
            <w:pPr>
              <w:rPr/>
            </w:pPr>
            <w:r w:rsidDel="00000000" w:rsidR="00000000" w:rsidRPr="00000000">
              <w:rPr>
                <w:rtl w:val="0"/>
              </w:rPr>
              <w:t xml:space="preserve">[reference, In-Line Sensors for Real-Time Measurement and Analysis of Bulk Dry Powder, 2017. SAR-29-14]</w:t>
            </w:r>
          </w:p>
        </w:tc>
      </w:tr>
      <w:tr>
        <w:trPr>
          <w:cantSplit w:val="0"/>
          <w:tblHeader w:val="0"/>
        </w:trPr>
        <w:tc>
          <w:tcPr/>
          <w:p w:rsidR="00000000" w:rsidDel="00000000" w:rsidP="00000000" w:rsidRDefault="00000000" w:rsidRPr="00000000" w14:paraId="0000001A">
            <w:pPr>
              <w:rPr>
                <w:b w:val="1"/>
              </w:rPr>
            </w:pPr>
            <w:r w:rsidDel="00000000" w:rsidR="00000000" w:rsidRPr="00000000">
              <w:rPr>
                <w:b w:val="1"/>
                <w:rtl w:val="0"/>
              </w:rPr>
              <w:t xml:space="preserve">Objectives</w:t>
            </w:r>
          </w:p>
        </w:tc>
        <w:tc>
          <w:tcPr/>
          <w:p w:rsidR="00000000" w:rsidDel="00000000" w:rsidP="00000000" w:rsidRDefault="00000000" w:rsidRPr="00000000" w14:paraId="0000001B">
            <w:pPr>
              <w:rPr/>
            </w:pPr>
            <w:r w:rsidDel="00000000" w:rsidR="00000000" w:rsidRPr="00000000">
              <w:rPr>
                <w:rtl w:val="0"/>
              </w:rPr>
              <w:t xml:space="preserve">The aim of the project is to understand the fundamental mechanisms of the process, environmental and material conditions that are necessary for the initiation and build up of charges in particle products.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Measurement techniques should be reviewed and evaluated against the applicability of use in an industrial environment. What is the industry benchmark? [also see related review request]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Discharge methods should be proposed that can effectively make the particle products processable and safe.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Mitigation strategies should be identified and provided that may become part of control strategies and/or integrated into automation alarm systems.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Suggestions on implementable industrial solutions, including off the shelf devices should be evaluated.</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Development of reliable models to predict behavior </w:t>
            </w:r>
          </w:p>
        </w:tc>
      </w:tr>
      <w:tr>
        <w:trPr>
          <w:cantSplit w:val="0"/>
          <w:tblHeader w:val="0"/>
        </w:trPr>
        <w:tc>
          <w:tcPr/>
          <w:p w:rsidR="00000000" w:rsidDel="00000000" w:rsidP="00000000" w:rsidRDefault="00000000" w:rsidRPr="00000000" w14:paraId="00000026">
            <w:pPr>
              <w:rPr>
                <w:b w:val="1"/>
              </w:rPr>
            </w:pPr>
            <w:r w:rsidDel="00000000" w:rsidR="00000000" w:rsidRPr="00000000">
              <w:rPr>
                <w:b w:val="1"/>
                <w:rtl w:val="0"/>
              </w:rPr>
              <w:t xml:space="preserve">Scope</w:t>
            </w:r>
          </w:p>
        </w:tc>
        <w:tc>
          <w:tcPr/>
          <w:p w:rsidR="00000000" w:rsidDel="00000000" w:rsidP="00000000" w:rsidRDefault="00000000" w:rsidRPr="00000000" w14:paraId="00000027">
            <w:pPr>
              <w:rPr/>
            </w:pPr>
            <w:r w:rsidDel="00000000" w:rsidR="00000000" w:rsidRPr="00000000">
              <w:rPr>
                <w:rtl w:val="0"/>
              </w:rPr>
              <w:t xml:space="preserve">Dry Systems </w:t>
            </w:r>
          </w:p>
          <w:p w:rsidR="00000000" w:rsidDel="00000000" w:rsidP="00000000" w:rsidRDefault="00000000" w:rsidRPr="00000000" w14:paraId="00000028">
            <w:pPr>
              <w:rPr/>
            </w:pPr>
            <w:r w:rsidDel="00000000" w:rsidR="00000000" w:rsidRPr="00000000">
              <w:rPr>
                <w:rtl w:val="0"/>
              </w:rPr>
              <w:t xml:space="preserve">Powders, granules, pellets, mini-tablets </w:t>
            </w:r>
          </w:p>
          <w:p w:rsidR="00000000" w:rsidDel="00000000" w:rsidP="00000000" w:rsidRDefault="00000000" w:rsidRPr="00000000" w14:paraId="00000029">
            <w:pPr>
              <w:rPr/>
            </w:pPr>
            <w:r w:rsidDel="00000000" w:rsidR="00000000" w:rsidRPr="00000000">
              <w:rPr>
                <w:rtl w:val="0"/>
              </w:rPr>
              <w:t xml:space="preserve">Clarify materials in scope: Pharmaceutical particle products, food particle products, battery powders </w:t>
            </w:r>
          </w:p>
          <w:p w:rsidR="00000000" w:rsidDel="00000000" w:rsidP="00000000" w:rsidRDefault="00000000" w:rsidRPr="00000000" w14:paraId="0000002A">
            <w:pPr>
              <w:rPr/>
            </w:pPr>
            <w:r w:rsidDel="00000000" w:rsidR="00000000" w:rsidRPr="00000000">
              <w:rPr>
                <w:rtl w:val="0"/>
              </w:rPr>
              <w:t xml:space="preserve">Processes in scope: blending, fluid bed drying, encapsulation, Wurster coating, perforated pan coating, </w:t>
            </w:r>
          </w:p>
          <w:p w:rsidR="00000000" w:rsidDel="00000000" w:rsidP="00000000" w:rsidRDefault="00000000" w:rsidRPr="00000000" w14:paraId="0000002B">
            <w:pPr>
              <w:rPr/>
            </w:pPr>
            <w:r w:rsidDel="00000000" w:rsidR="00000000" w:rsidRPr="00000000">
              <w:rPr>
                <w:rtl w:val="0"/>
              </w:rPr>
              <w:t xml:space="preserve">Measurement systems: in line, at line, off line </w:t>
            </w:r>
          </w:p>
          <w:p w:rsidR="00000000" w:rsidDel="00000000" w:rsidP="00000000" w:rsidRDefault="00000000" w:rsidRPr="00000000" w14:paraId="0000002C">
            <w:pPr>
              <w:rPr/>
            </w:pPr>
            <w:r w:rsidDel="00000000" w:rsidR="00000000" w:rsidRPr="00000000">
              <w:rPr>
                <w:rtl w:val="0"/>
              </w:rPr>
              <w:t xml:space="preserve">Discharge methods in scope: chemical addition e.g. addition of GRAS excipients, engineering solutions e.g. probe, non product contact, PAT measurement solutions etc.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Out of scope:</w:t>
            </w:r>
          </w:p>
          <w:p w:rsidR="00000000" w:rsidDel="00000000" w:rsidP="00000000" w:rsidRDefault="00000000" w:rsidRPr="00000000" w14:paraId="0000002F">
            <w:pPr>
              <w:rPr/>
            </w:pPr>
            <w:r w:rsidDel="00000000" w:rsidR="00000000" w:rsidRPr="00000000">
              <w:rPr>
                <w:rtl w:val="0"/>
              </w:rPr>
              <w:t xml:space="preserve">Wet systems, colloid systems </w:t>
            </w:r>
          </w:p>
        </w:tc>
      </w:tr>
    </w:tbl>
    <w:p w:rsidR="00000000" w:rsidDel="00000000" w:rsidP="00000000" w:rsidRDefault="00000000" w:rsidRPr="00000000" w14:paraId="00000030">
      <w:pPr>
        <w:rPr/>
      </w:pPr>
      <w:r w:rsidDel="00000000" w:rsidR="00000000" w:rsidRPr="00000000">
        <w:rPr>
          <w:rtl w:val="0"/>
        </w:rPr>
      </w:r>
    </w:p>
    <w:tbl>
      <w:tblPr>
        <w:tblStyle w:val="Table2"/>
        <w:tblW w:w="89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68"/>
        <w:gridCol w:w="2968"/>
        <w:gridCol w:w="2969"/>
        <w:tblGridChange w:id="0">
          <w:tblGrid>
            <w:gridCol w:w="2968"/>
            <w:gridCol w:w="2968"/>
            <w:gridCol w:w="2969"/>
          </w:tblGrid>
        </w:tblGridChange>
      </w:tblGrid>
      <w:tr>
        <w:trPr>
          <w:cantSplit w:val="0"/>
          <w:tblHeader w:val="0"/>
        </w:trPr>
        <w:tc>
          <w:tcPr>
            <w:gridSpan w:val="3"/>
          </w:tcPr>
          <w:p w:rsidR="00000000" w:rsidDel="00000000" w:rsidP="00000000" w:rsidRDefault="00000000" w:rsidRPr="00000000" w14:paraId="00000031">
            <w:pPr>
              <w:jc w:val="center"/>
              <w:rPr>
                <w:b w:val="1"/>
              </w:rPr>
            </w:pPr>
            <w:r w:rsidDel="00000000" w:rsidR="00000000" w:rsidRPr="00000000">
              <w:rPr>
                <w:b w:val="1"/>
                <w:rtl w:val="0"/>
              </w:rPr>
              <w:t xml:space="preserve">Recommended Contractors (2 or 3)</w:t>
            </w:r>
          </w:p>
        </w:tc>
      </w:tr>
      <w:tr>
        <w:trPr>
          <w:cantSplit w:val="0"/>
          <w:tblHeader w:val="0"/>
        </w:trPr>
        <w:tc>
          <w:tcPr/>
          <w:p w:rsidR="00000000" w:rsidDel="00000000" w:rsidP="00000000" w:rsidRDefault="00000000" w:rsidRPr="00000000" w14:paraId="00000034">
            <w:pPr>
              <w:jc w:val="center"/>
              <w:rPr>
                <w:b w:val="1"/>
              </w:rPr>
            </w:pPr>
            <w:r w:rsidDel="00000000" w:rsidR="00000000" w:rsidRPr="00000000">
              <w:rPr>
                <w:b w:val="1"/>
                <w:rtl w:val="0"/>
              </w:rPr>
              <w:t xml:space="preserve">Name</w:t>
            </w:r>
          </w:p>
        </w:tc>
        <w:tc>
          <w:tcPr/>
          <w:p w:rsidR="00000000" w:rsidDel="00000000" w:rsidP="00000000" w:rsidRDefault="00000000" w:rsidRPr="00000000" w14:paraId="00000035">
            <w:pPr>
              <w:jc w:val="center"/>
              <w:rPr>
                <w:b w:val="1"/>
              </w:rPr>
            </w:pPr>
            <w:r w:rsidDel="00000000" w:rsidR="00000000" w:rsidRPr="00000000">
              <w:rPr>
                <w:b w:val="1"/>
                <w:rtl w:val="0"/>
              </w:rPr>
              <w:t xml:space="preserve">Institution</w:t>
            </w:r>
          </w:p>
        </w:tc>
        <w:tc>
          <w:tcPr/>
          <w:p w:rsidR="00000000" w:rsidDel="00000000" w:rsidP="00000000" w:rsidRDefault="00000000" w:rsidRPr="00000000" w14:paraId="00000036">
            <w:pPr>
              <w:jc w:val="center"/>
              <w:rPr>
                <w:b w:val="1"/>
              </w:rPr>
            </w:pPr>
            <w:r w:rsidDel="00000000" w:rsidR="00000000" w:rsidRPr="00000000">
              <w:rPr>
                <w:b w:val="1"/>
                <w:rtl w:val="0"/>
              </w:rPr>
              <w:t xml:space="preserve">Email Address</w:t>
            </w:r>
          </w:p>
        </w:tc>
      </w:tr>
      <w:tr>
        <w:trPr>
          <w:cantSplit w:val="0"/>
          <w:tblHeader w:val="0"/>
        </w:trPr>
        <w:tc>
          <w:tcPr/>
          <w:p w:rsidR="00000000" w:rsidDel="00000000" w:rsidP="00000000" w:rsidRDefault="00000000" w:rsidRPr="00000000" w14:paraId="00000037">
            <w:pPr>
              <w:rPr/>
            </w:pPr>
            <w:r w:rsidDel="00000000" w:rsidR="00000000" w:rsidRPr="00000000">
              <w:rPr>
                <w:rtl w:val="0"/>
              </w:rPr>
              <w:t xml:space="preserve">Dr Ali Hassanpour / Mojtaba Ghadiri</w:t>
            </w:r>
          </w:p>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9">
            <w:pPr>
              <w:rPr/>
            </w:pPr>
            <w:r w:rsidDel="00000000" w:rsidR="00000000" w:rsidRPr="00000000">
              <w:rPr>
                <w:rtl w:val="0"/>
              </w:rPr>
              <w:t xml:space="preserve">Uni Leeds </w:t>
            </w:r>
          </w:p>
          <w:p w:rsidR="00000000" w:rsidDel="00000000" w:rsidP="00000000" w:rsidRDefault="00000000" w:rsidRPr="00000000" w14:paraId="0000003A">
            <w:pPr>
              <w:rPr/>
            </w:pPr>
            <w:r w:rsidDel="00000000" w:rsidR="00000000" w:rsidRPr="00000000">
              <w:rPr>
                <w:rtl w:val="0"/>
              </w:rPr>
            </w:r>
          </w:p>
        </w:tc>
        <w:tc>
          <w:tcPr/>
          <w:p w:rsidR="00000000" w:rsidDel="00000000" w:rsidP="00000000" w:rsidRDefault="00000000" w:rsidRPr="00000000" w14:paraId="0000003B">
            <w:pPr>
              <w:rPr/>
            </w:pPr>
            <w:r w:rsidDel="00000000" w:rsidR="00000000" w:rsidRPr="00000000">
              <w:rPr>
                <w:rtl w:val="0"/>
              </w:rPr>
              <w:t xml:space="preserve">a.hassanpour@leeds.ac.uk</w:t>
            </w:r>
          </w:p>
        </w:tc>
      </w:tr>
      <w:tr>
        <w:trPr>
          <w:cantSplit w:val="0"/>
          <w:tblHeader w:val="0"/>
        </w:trPr>
        <w:tc>
          <w:tcPr/>
          <w:p w:rsidR="00000000" w:rsidDel="00000000" w:rsidP="00000000" w:rsidRDefault="00000000" w:rsidRPr="00000000" w14:paraId="0000003C">
            <w:pPr>
              <w:rPr>
                <w:b w:val="1"/>
              </w:rPr>
            </w:pPr>
            <w:r w:rsidDel="00000000" w:rsidR="00000000" w:rsidRPr="00000000">
              <w:rPr>
                <w:b w:val="1"/>
                <w:rtl w:val="0"/>
              </w:rPr>
              <w:t xml:space="preserve">Scott Waitukaitis</w:t>
            </w:r>
          </w:p>
        </w:tc>
        <w:tc>
          <w:tcPr/>
          <w:p w:rsidR="00000000" w:rsidDel="00000000" w:rsidP="00000000" w:rsidRDefault="00000000" w:rsidRPr="00000000" w14:paraId="0000003D">
            <w:pPr>
              <w:rPr/>
            </w:pPr>
            <w:r w:rsidDel="00000000" w:rsidR="00000000" w:rsidRPr="00000000">
              <w:rPr>
                <w:rtl w:val="0"/>
              </w:rPr>
              <w:t xml:space="preserve">ISTA</w:t>
            </w:r>
          </w:p>
        </w:tc>
        <w:tc>
          <w:tcPr/>
          <w:p w:rsidR="00000000" w:rsidDel="00000000" w:rsidP="00000000" w:rsidRDefault="00000000" w:rsidRPr="00000000" w14:paraId="0000003E">
            <w:pPr>
              <w:rPr/>
            </w:pPr>
            <w:r w:rsidDel="00000000" w:rsidR="00000000" w:rsidRPr="00000000">
              <w:rPr>
                <w:rtl w:val="0"/>
              </w:rPr>
              <w:t xml:space="preserve">Scott.waitukaitis@ist.ac.at</w:t>
            </w:r>
          </w:p>
        </w:tc>
      </w:tr>
      <w:tr>
        <w:trPr>
          <w:cantSplit w:val="0"/>
          <w:tblHeader w:val="0"/>
        </w:trPr>
        <w:tc>
          <w:tcPr/>
          <w:p w:rsidR="00000000" w:rsidDel="00000000" w:rsidP="00000000" w:rsidRDefault="00000000" w:rsidRPr="00000000" w14:paraId="0000003F">
            <w:pPr>
              <w:rPr/>
            </w:pPr>
            <w:r w:rsidDel="00000000" w:rsidR="00000000" w:rsidRPr="00000000">
              <w:rPr>
                <w:rtl w:val="0"/>
              </w:rPr>
            </w:r>
          </w:p>
        </w:tc>
        <w:tc>
          <w:tcPr/>
          <w:p w:rsidR="00000000" w:rsidDel="00000000" w:rsidP="00000000" w:rsidRDefault="00000000" w:rsidRPr="00000000" w14:paraId="00000040">
            <w:pPr>
              <w:rPr/>
            </w:pPr>
            <w:r w:rsidDel="00000000" w:rsidR="00000000" w:rsidRPr="00000000">
              <w:rPr>
                <w:rtl w:val="0"/>
              </w:rPr>
            </w:r>
          </w:p>
        </w:tc>
        <w:tc>
          <w:tcPr/>
          <w:p w:rsidR="00000000" w:rsidDel="00000000" w:rsidP="00000000" w:rsidRDefault="00000000" w:rsidRPr="00000000" w14:paraId="00000041">
            <w:pPr>
              <w:rPr/>
            </w:pPr>
            <w:r w:rsidDel="00000000" w:rsidR="00000000" w:rsidRPr="00000000">
              <w:rPr>
                <w:rtl w:val="0"/>
              </w:rPr>
            </w:r>
          </w:p>
        </w:tc>
      </w:tr>
    </w:tbl>
    <w:p w:rsidR="00000000" w:rsidDel="00000000" w:rsidP="00000000" w:rsidRDefault="00000000" w:rsidRPr="00000000" w14:paraId="00000042">
      <w:pPr>
        <w:rPr/>
      </w:pPr>
      <w:r w:rsidDel="00000000" w:rsidR="00000000" w:rsidRPr="00000000">
        <w:rPr>
          <w:rtl w:val="0"/>
        </w:rPr>
      </w:r>
    </w:p>
    <w:tbl>
      <w:tblPr>
        <w:tblStyle w:val="Table3"/>
        <w:tblW w:w="89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15"/>
        <w:gridCol w:w="4590"/>
        <w:tblGridChange w:id="0">
          <w:tblGrid>
            <w:gridCol w:w="4315"/>
            <w:gridCol w:w="4590"/>
          </w:tblGrid>
        </w:tblGridChange>
      </w:tblGrid>
      <w:tr>
        <w:trPr>
          <w:cantSplit w:val="0"/>
          <w:tblHeader w:val="0"/>
        </w:trPr>
        <w:tc>
          <w:tcPr>
            <w:gridSpan w:val="2"/>
          </w:tcPr>
          <w:p w:rsidR="00000000" w:rsidDel="00000000" w:rsidP="00000000" w:rsidRDefault="00000000" w:rsidRPr="00000000" w14:paraId="00000043">
            <w:pPr>
              <w:jc w:val="center"/>
              <w:rPr>
                <w:b w:val="1"/>
              </w:rPr>
            </w:pPr>
            <w:r w:rsidDel="00000000" w:rsidR="00000000" w:rsidRPr="00000000">
              <w:rPr>
                <w:b w:val="1"/>
                <w:rtl w:val="0"/>
              </w:rPr>
              <w:t xml:space="preserve">Submitted By:</w:t>
            </w:r>
          </w:p>
        </w:tc>
      </w:tr>
      <w:tr>
        <w:trPr>
          <w:cantSplit w:val="0"/>
          <w:tblHeader w:val="0"/>
        </w:trPr>
        <w:tc>
          <w:tcPr/>
          <w:p w:rsidR="00000000" w:rsidDel="00000000" w:rsidP="00000000" w:rsidRDefault="00000000" w:rsidRPr="00000000" w14:paraId="00000045">
            <w:pPr>
              <w:jc w:val="center"/>
              <w:rPr>
                <w:b w:val="1"/>
              </w:rPr>
            </w:pPr>
            <w:r w:rsidDel="00000000" w:rsidR="00000000" w:rsidRPr="00000000">
              <w:rPr>
                <w:b w:val="1"/>
                <w:rtl w:val="0"/>
              </w:rPr>
              <w:t xml:space="preserve">Name</w:t>
            </w:r>
          </w:p>
        </w:tc>
        <w:tc>
          <w:tcPr/>
          <w:p w:rsidR="00000000" w:rsidDel="00000000" w:rsidP="00000000" w:rsidRDefault="00000000" w:rsidRPr="00000000" w14:paraId="00000046">
            <w:pPr>
              <w:jc w:val="center"/>
              <w:rPr>
                <w:b w:val="1"/>
              </w:rPr>
            </w:pPr>
            <w:r w:rsidDel="00000000" w:rsidR="00000000" w:rsidRPr="00000000">
              <w:rPr>
                <w:b w:val="1"/>
                <w:rtl w:val="0"/>
              </w:rPr>
              <w:t xml:space="preserve">Organization</w:t>
            </w:r>
          </w:p>
        </w:tc>
      </w:tr>
      <w:tr>
        <w:trPr>
          <w:cantSplit w:val="0"/>
          <w:tblHeader w:val="0"/>
        </w:trPr>
        <w:tc>
          <w:tcPr/>
          <w:p w:rsidR="00000000" w:rsidDel="00000000" w:rsidP="00000000" w:rsidRDefault="00000000" w:rsidRPr="00000000" w14:paraId="00000047">
            <w:pPr>
              <w:rPr/>
            </w:pPr>
            <w:r w:rsidDel="00000000" w:rsidR="00000000" w:rsidRPr="00000000">
              <w:rPr>
                <w:rtl w:val="0"/>
              </w:rPr>
              <w:t xml:space="preserve">Sarah David </w:t>
            </w:r>
          </w:p>
        </w:tc>
        <w:tc>
          <w:tcPr/>
          <w:p w:rsidR="00000000" w:rsidDel="00000000" w:rsidP="00000000" w:rsidRDefault="00000000" w:rsidRPr="00000000" w14:paraId="00000048">
            <w:pPr>
              <w:rPr/>
            </w:pPr>
            <w:r w:rsidDel="00000000" w:rsidR="00000000" w:rsidRPr="00000000">
              <w:rPr>
                <w:rtl w:val="0"/>
              </w:rPr>
              <w:t xml:space="preserve">Novartis </w:t>
            </w:r>
          </w:p>
        </w:tc>
      </w:tr>
      <w:tr>
        <w:trPr>
          <w:cantSplit w:val="0"/>
          <w:tblHeader w:val="0"/>
        </w:trPr>
        <w:tc>
          <w:tcPr/>
          <w:p w:rsidR="00000000" w:rsidDel="00000000" w:rsidP="00000000" w:rsidRDefault="00000000" w:rsidRPr="00000000" w14:paraId="00000049">
            <w:pPr>
              <w:rPr/>
            </w:pPr>
            <w:r w:rsidDel="00000000" w:rsidR="00000000" w:rsidRPr="00000000">
              <w:rPr>
                <w:rtl w:val="0"/>
              </w:rPr>
              <w:t xml:space="preserve">Alexander Findeisen</w:t>
            </w:r>
          </w:p>
        </w:tc>
        <w:tc>
          <w:tcPr/>
          <w:p w:rsidR="00000000" w:rsidDel="00000000" w:rsidP="00000000" w:rsidRDefault="00000000" w:rsidRPr="00000000" w14:paraId="0000004A">
            <w:pPr>
              <w:rPr/>
            </w:pPr>
            <w:r w:rsidDel="00000000" w:rsidR="00000000" w:rsidRPr="00000000">
              <w:rPr>
                <w:rtl w:val="0"/>
              </w:rPr>
              <w:t xml:space="preserve">afi@novonesis.com</w:t>
            </w:r>
          </w:p>
        </w:tc>
      </w:tr>
      <w:tr>
        <w:trPr>
          <w:cantSplit w:val="0"/>
          <w:tblHeader w:val="0"/>
        </w:trPr>
        <w:tc>
          <w:tcPr/>
          <w:p w:rsidR="00000000" w:rsidDel="00000000" w:rsidP="00000000" w:rsidRDefault="00000000" w:rsidRPr="00000000" w14:paraId="0000004B">
            <w:pPr>
              <w:rPr/>
            </w:pPr>
            <w:r w:rsidDel="00000000" w:rsidR="00000000" w:rsidRPr="00000000">
              <w:rPr>
                <w:rtl w:val="0"/>
              </w:rPr>
              <w:t xml:space="preserve">Ladislav Konopka </w:t>
            </w:r>
          </w:p>
        </w:tc>
        <w:tc>
          <w:tcPr/>
          <w:p w:rsidR="00000000" w:rsidDel="00000000" w:rsidP="00000000" w:rsidRDefault="00000000" w:rsidRPr="00000000" w14:paraId="0000004C">
            <w:pPr>
              <w:rPr/>
            </w:pPr>
            <w:r w:rsidDel="00000000" w:rsidR="00000000" w:rsidRPr="00000000">
              <w:rPr>
                <w:rtl w:val="0"/>
              </w:rPr>
              <w:t xml:space="preserve">Ladislav.konopka@envalior.com</w:t>
            </w:r>
          </w:p>
        </w:tc>
      </w:tr>
      <w:tr>
        <w:trPr>
          <w:cantSplit w:val="0"/>
          <w:tblHeader w:val="0"/>
        </w:trPr>
        <w:tc>
          <w:tcPr/>
          <w:p w:rsidR="00000000" w:rsidDel="00000000" w:rsidP="00000000" w:rsidRDefault="00000000" w:rsidRPr="00000000" w14:paraId="0000004D">
            <w:pPr>
              <w:rPr/>
            </w:pPr>
            <w:r w:rsidDel="00000000" w:rsidR="00000000" w:rsidRPr="00000000">
              <w:rPr>
                <w:rtl w:val="0"/>
              </w:rPr>
              <w:t xml:space="preserve">Pete Bergstrom </w:t>
            </w:r>
          </w:p>
        </w:tc>
        <w:tc>
          <w:tcPr/>
          <w:p w:rsidR="00000000" w:rsidDel="00000000" w:rsidP="00000000" w:rsidRDefault="00000000" w:rsidRPr="00000000" w14:paraId="0000004E">
            <w:pPr>
              <w:rPr/>
            </w:pPr>
            <w:r w:rsidDel="00000000" w:rsidR="00000000" w:rsidRPr="00000000">
              <w:rPr>
                <w:rtl w:val="0"/>
              </w:rPr>
              <w:t xml:space="preserve">pete@silanano.com</w:t>
            </w:r>
          </w:p>
        </w:tc>
      </w:tr>
      <w:tr>
        <w:trPr>
          <w:cantSplit w:val="0"/>
          <w:tblHeader w:val="0"/>
        </w:trPr>
        <w:tc>
          <w:tcPr/>
          <w:p w:rsidR="00000000" w:rsidDel="00000000" w:rsidP="00000000" w:rsidRDefault="00000000" w:rsidRPr="00000000" w14:paraId="0000004F">
            <w:pPr>
              <w:rPr/>
            </w:pPr>
            <w:r w:rsidDel="00000000" w:rsidR="00000000" w:rsidRPr="00000000">
              <w:rPr>
                <w:rtl w:val="0"/>
              </w:rPr>
              <w:t xml:space="preserve">Kyle Sala</w:t>
            </w:r>
          </w:p>
        </w:tc>
        <w:tc>
          <w:tcPr/>
          <w:p w:rsidR="00000000" w:rsidDel="00000000" w:rsidP="00000000" w:rsidRDefault="00000000" w:rsidRPr="00000000" w14:paraId="00000050">
            <w:pPr>
              <w:rPr/>
            </w:pPr>
            <w:r w:rsidDel="00000000" w:rsidR="00000000" w:rsidRPr="00000000">
              <w:rPr>
                <w:rtl w:val="0"/>
              </w:rPr>
              <w:t xml:space="preserve">Kyle.sala@kdrp.com</w:t>
            </w:r>
          </w:p>
        </w:tc>
      </w:tr>
      <w:tr>
        <w:trPr>
          <w:cantSplit w:val="0"/>
          <w:tblHeader w:val="0"/>
        </w:trPr>
        <w:tc>
          <w:tcPr/>
          <w:p w:rsidR="00000000" w:rsidDel="00000000" w:rsidP="00000000" w:rsidRDefault="00000000" w:rsidRPr="00000000" w14:paraId="00000051">
            <w:pPr>
              <w:rPr/>
            </w:pPr>
            <w:r w:rsidDel="00000000" w:rsidR="00000000" w:rsidRPr="00000000">
              <w:rPr>
                <w:rtl w:val="0"/>
              </w:rPr>
              <w:t xml:space="preserve">Nabhan Ahmed</w:t>
            </w:r>
          </w:p>
        </w:tc>
        <w:tc>
          <w:tcPr/>
          <w:p w:rsidR="00000000" w:rsidDel="00000000" w:rsidP="00000000" w:rsidRDefault="00000000" w:rsidRPr="00000000" w14:paraId="00000052">
            <w:pPr>
              <w:rPr/>
            </w:pPr>
            <w:r w:rsidDel="00000000" w:rsidR="00000000" w:rsidRPr="00000000">
              <w:rPr>
                <w:rtl w:val="0"/>
              </w:rPr>
              <w:t xml:space="preserve">Sheikh.ahmed@kdrp.com</w:t>
            </w:r>
          </w:p>
        </w:tc>
      </w:tr>
      <w:tr>
        <w:trPr>
          <w:cantSplit w:val="0"/>
          <w:tblHeader w:val="0"/>
        </w:trPr>
        <w:tc>
          <w:tcPr/>
          <w:p w:rsidR="00000000" w:rsidDel="00000000" w:rsidP="00000000" w:rsidRDefault="00000000" w:rsidRPr="00000000" w14:paraId="00000053">
            <w:pPr>
              <w:rPr/>
            </w:pPr>
            <w:r w:rsidDel="00000000" w:rsidR="00000000" w:rsidRPr="00000000">
              <w:rPr>
                <w:rtl w:val="0"/>
              </w:rPr>
            </w:r>
          </w:p>
        </w:tc>
        <w:tc>
          <w:tcPr/>
          <w:p w:rsidR="00000000" w:rsidDel="00000000" w:rsidP="00000000" w:rsidRDefault="00000000" w:rsidRPr="00000000" w14:paraId="00000054">
            <w:pPr>
              <w:rPr/>
            </w:pPr>
            <w:r w:rsidDel="00000000" w:rsidR="00000000" w:rsidRPr="00000000">
              <w:rPr>
                <w:rtl w:val="0"/>
              </w:rPr>
            </w:r>
          </w:p>
        </w:tc>
      </w:tr>
    </w:tbl>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sectPr>
      <w:headerReference r:id="rId8" w:type="default"/>
      <w:headerReference r:id="rId9" w:type="first"/>
      <w:footerReference r:id="rId10" w:type="default"/>
      <w:pgSz w:h="15840" w:w="12240" w:orient="portrait"/>
      <w:pgMar w:bottom="1440" w:top="144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Gothic"/>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tabs>
        <w:tab w:val="left" w:leader="none" w:pos="3480"/>
        <w:tab w:val="left" w:leader="none" w:pos="3645"/>
      </w:tabs>
      <w:rPr/>
    </w:pPr>
    <w:r w:rsidDel="00000000" w:rsidR="00000000" w:rsidRPr="00000000">
      <w:rPr>
        <w:rtl w:val="0"/>
      </w:rPr>
      <w:tab/>
      <w:t xml:space="preserve">Template v.1.0 - RB</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Title used in meeting agendas and file archives</w:t>
      </w:r>
    </w:p>
  </w:footnote>
  <w:footnote w:id="1">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One or more from the following list:  W = wet systems; D = dry systems; F = particle formation; SR = size reduction; M = modeling; SE = systems engineering</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jc w:val="center"/>
      <w:rPr>
        <w:b w:val="1"/>
        <w:smallCaps w:val="1"/>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jc w:val="center"/>
      <w:rPr>
        <w:b w:val="1"/>
        <w:smallCaps w:val="1"/>
        <w:sz w:val="28"/>
        <w:szCs w:val="28"/>
      </w:rPr>
    </w:pPr>
    <w:r w:rsidDel="00000000" w:rsidR="00000000" w:rsidRPr="00000000">
      <w:rPr>
        <w:b w:val="1"/>
        <w:smallCaps w:val="1"/>
        <w:sz w:val="28"/>
        <w:szCs w:val="28"/>
      </w:rPr>
      <w:drawing>
        <wp:inline distB="0" distT="0" distL="0" distR="0">
          <wp:extent cx="1620476" cy="684827"/>
          <wp:effectExtent b="0" l="0" r="0" t="0"/>
          <wp:docPr descr="C:\Users\Home\Google Drive\IFPRI\Logos\newlogov1.jpg" id="3" name="image1.jpg"/>
          <a:graphic>
            <a:graphicData uri="http://schemas.openxmlformats.org/drawingml/2006/picture">
              <pic:pic>
                <pic:nvPicPr>
                  <pic:cNvPr descr="C:\Users\Home\Google Drive\IFPRI\Logos\newlogov1.jpg" id="0" name="image1.jpg"/>
                  <pic:cNvPicPr preferRelativeResize="0"/>
                </pic:nvPicPr>
                <pic:blipFill>
                  <a:blip r:embed="rId1"/>
                  <a:srcRect b="0" l="0" r="0" t="0"/>
                  <a:stretch>
                    <a:fillRect/>
                  </a:stretch>
                </pic:blipFill>
                <pic:spPr>
                  <a:xfrm>
                    <a:off x="0" y="0"/>
                    <a:ext cx="1620476" cy="684827"/>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jc w:val="center"/>
      <w:rPr>
        <w:b w:val="1"/>
        <w:smallCaps w:val="1"/>
        <w:sz w:val="28"/>
        <w:szCs w:val="28"/>
      </w:rPr>
    </w:pPr>
    <w:r w:rsidDel="00000000" w:rsidR="00000000" w:rsidRPr="00000000">
      <w:rPr>
        <w:b w:val="1"/>
        <w:smallCaps w:val="1"/>
        <w:sz w:val="28"/>
        <w:szCs w:val="28"/>
        <w:rtl w:val="0"/>
      </w:rPr>
      <w:t xml:space="preserve">IFPRI  Brief Template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ko-K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erChar" w:customStyle="1">
    <w:name w:val="Header Char"/>
    <w:basedOn w:val="DefaultParagraphFont"/>
    <w:link w:val="Header"/>
    <w:uiPriority w:val="99"/>
    <w:rsid w:val="00854B50"/>
    <w:rPr>
      <w:sz w:val="24"/>
      <w:szCs w:val="24"/>
      <w:lang w:eastAsia="ko-KR"/>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link w:val="FootnoteTextChar"/>
    <w:rsid w:val="000E4F36"/>
    <w:rPr>
      <w:sz w:val="20"/>
      <w:szCs w:val="20"/>
    </w:rPr>
  </w:style>
  <w:style w:type="character" w:styleId="FootnoteTextChar" w:customStyle="1">
    <w:name w:val="Footnote Text Char"/>
    <w:basedOn w:val="DefaultParagraphFont"/>
    <w:link w:val="FootnoteText"/>
    <w:rsid w:val="000E4F36"/>
    <w:rPr>
      <w:lang w:eastAsia="ko-KR"/>
    </w:rPr>
  </w:style>
  <w:style w:type="character" w:styleId="FootnoteReference">
    <w:name w:val="footnote reference"/>
    <w:basedOn w:val="DefaultParagraphFont"/>
    <w:rsid w:val="000E4F36"/>
    <w:rPr>
      <w:vertAlign w:val="superscript"/>
    </w:rPr>
  </w:style>
  <w:style w:type="table" w:styleId="TableGrid">
    <w:name w:val="Table Grid"/>
    <w:basedOn w:val="TableNormal"/>
    <w:rsid w:val="001D3FB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rsid w:val="0055533A"/>
    <w:rPr>
      <w:color w:val="0563c1" w:themeColor="hyperlink"/>
      <w:u w:val="single"/>
    </w:rPr>
  </w:style>
  <w:style w:type="character" w:styleId="UnresolvedMention">
    <w:name w:val="Unresolved Mention"/>
    <w:basedOn w:val="DefaultParagraphFont"/>
    <w:uiPriority w:val="99"/>
    <w:semiHidden w:val="1"/>
    <w:unhideWhenUsed w:val="1"/>
    <w:rsid w:val="0055533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r8KYbl5mHH9yrVSBi8n6/Ko/dg==">CgMxLjA4AHIhMUt4aUdHcGEyVFFwOGRlUTJtZjJpc3Q1T1k1OTZqWkRi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2025-06-16T15:57:00Z</dcterms:created>
  <dc:creator>Boerefijn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0x0101004D8FD8C768679143A73F2A6AA7D4A00B</vt:lpwstr>
  </property>
</Properties>
</file>