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right="-180"/>
        <w:rPr>
          <w:b w:val="1"/>
        </w:rPr>
      </w:pPr>
      <w:r w:rsidDel="00000000" w:rsidR="00000000" w:rsidRPr="00000000">
        <w:rPr>
          <w:b w:val="1"/>
          <w:rtl w:val="0"/>
        </w:rPr>
        <w:t xml:space="preserve">Check One:    </w:t>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Project</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Review</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Collaboration</w:t>
      </w:r>
    </w:p>
    <w:p w:rsidR="00000000" w:rsidDel="00000000" w:rsidP="00000000" w:rsidRDefault="00000000" w:rsidRPr="00000000" w14:paraId="00000003">
      <w:pPr>
        <w:ind w:right="-180"/>
        <w:rPr>
          <w:b w:val="1"/>
        </w:rPr>
      </w:pPr>
      <w:r w:rsidDel="00000000" w:rsidR="00000000" w:rsidRPr="00000000">
        <w:rPr>
          <w:b w:val="1"/>
          <w:rtl w:val="0"/>
        </w:rPr>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Workshop</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Other</w:t>
      </w:r>
    </w:p>
    <w:p w:rsidR="00000000" w:rsidDel="00000000" w:rsidP="00000000" w:rsidRDefault="00000000" w:rsidRPr="00000000" w14:paraId="00000004">
      <w:pPr>
        <w:ind w:right="-9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65"/>
        <w:gridCol w:w="6840"/>
        <w:tblGridChange w:id="0">
          <w:tblGrid>
            <w:gridCol w:w="2065"/>
            <w:gridCol w:w="6840"/>
          </w:tblGrid>
        </w:tblGridChange>
      </w:tblGrid>
      <w:tr>
        <w:trPr>
          <w:cantSplit w:val="0"/>
          <w:trHeight w:val="404" w:hRule="atLeast"/>
          <w:tblHeader w:val="0"/>
        </w:trPr>
        <w:tc>
          <w:tcPr/>
          <w:p w:rsidR="00000000" w:rsidDel="00000000" w:rsidP="00000000" w:rsidRDefault="00000000" w:rsidRPr="00000000" w14:paraId="00000006">
            <w:pPr>
              <w:rPr>
                <w:b w:val="1"/>
              </w:rPr>
            </w:pPr>
            <w:r w:rsidDel="00000000" w:rsidR="00000000" w:rsidRPr="00000000">
              <w:rPr>
                <w:b w:val="1"/>
                <w:rtl w:val="0"/>
              </w:rPr>
              <w:t xml:space="preserve">Descriptive Title</w:t>
            </w:r>
          </w:p>
        </w:tc>
        <w:tc>
          <w:tcPr/>
          <w:p w:rsidR="00000000" w:rsidDel="00000000" w:rsidP="00000000" w:rsidRDefault="00000000" w:rsidRPr="00000000" w14:paraId="00000007">
            <w:pPr>
              <w:rPr/>
            </w:pPr>
            <w:r w:rsidDel="00000000" w:rsidR="00000000" w:rsidRPr="00000000">
              <w:rPr>
                <w:rtl w:val="0"/>
              </w:rPr>
              <w:t xml:space="preserve">Advanced Powder Processing &amp; PSD Control for Energy Storage Batteries</w:t>
            </w:r>
          </w:p>
        </w:tc>
      </w:tr>
      <w:tr>
        <w:trPr>
          <w:cantSplit w:val="0"/>
          <w:tblHeader w:val="0"/>
        </w:trPr>
        <w:tc>
          <w:tcPr/>
          <w:p w:rsidR="00000000" w:rsidDel="00000000" w:rsidP="00000000" w:rsidRDefault="00000000" w:rsidRPr="00000000" w14:paraId="00000008">
            <w:pPr>
              <w:rPr>
                <w:b w:val="1"/>
              </w:rPr>
            </w:pPr>
            <w:r w:rsidDel="00000000" w:rsidR="00000000" w:rsidRPr="00000000">
              <w:rPr>
                <w:b w:val="1"/>
                <w:rtl w:val="0"/>
              </w:rPr>
              <w:t xml:space="preserve">Working Title</w:t>
            </w:r>
            <w:r w:rsidDel="00000000" w:rsidR="00000000" w:rsidRPr="00000000">
              <w:rPr>
                <w:b w:val="1"/>
                <w:vertAlign w:val="superscript"/>
              </w:rPr>
              <w:footnoteReference w:customMarkFollows="0" w:id="0"/>
            </w:r>
            <w:r w:rsidDel="00000000" w:rsidR="00000000" w:rsidRPr="00000000">
              <w:rPr>
                <w:rtl w:val="0"/>
              </w:rPr>
            </w:r>
          </w:p>
        </w:tc>
        <w:tc>
          <w:tcPr/>
          <w:p w:rsidR="00000000" w:rsidDel="00000000" w:rsidP="00000000" w:rsidRDefault="00000000" w:rsidRPr="00000000" w14:paraId="00000009">
            <w:pPr>
              <w:rPr/>
            </w:pPr>
            <w:r w:rsidDel="00000000" w:rsidR="00000000" w:rsidRPr="00000000">
              <w:rPr>
                <w:rtl w:val="0"/>
              </w:rPr>
              <w:t xml:space="preserve">Battery Powder PSD Control &amp; Processing</w:t>
            </w:r>
          </w:p>
        </w:tc>
      </w:tr>
      <w:tr>
        <w:trPr>
          <w:cantSplit w:val="0"/>
          <w:tblHeader w:val="0"/>
        </w:trPr>
        <w:tc>
          <w:tcPr/>
          <w:p w:rsidR="00000000" w:rsidDel="00000000" w:rsidP="00000000" w:rsidRDefault="00000000" w:rsidRPr="00000000" w14:paraId="0000000A">
            <w:pPr>
              <w:rPr>
                <w:b w:val="1"/>
              </w:rPr>
            </w:pPr>
            <w:r w:rsidDel="00000000" w:rsidR="00000000" w:rsidRPr="00000000">
              <w:rPr>
                <w:b w:val="1"/>
                <w:rtl w:val="0"/>
              </w:rPr>
              <w:t xml:space="preserve">Technical Area</w:t>
            </w:r>
            <w:r w:rsidDel="00000000" w:rsidR="00000000" w:rsidRPr="00000000">
              <w:rPr>
                <w:b w:val="1"/>
                <w:vertAlign w:val="superscript"/>
              </w:rPr>
              <w:footnoteReference w:customMarkFollows="0" w:id="1"/>
            </w:r>
            <w:r w:rsidDel="00000000" w:rsidR="00000000" w:rsidRPr="00000000">
              <w:rPr>
                <w:rtl w:val="0"/>
              </w:rPr>
            </w:r>
          </w:p>
        </w:tc>
        <w:tc>
          <w:tcPr/>
          <w:p w:rsidR="00000000" w:rsidDel="00000000" w:rsidP="00000000" w:rsidRDefault="00000000" w:rsidRPr="00000000" w14:paraId="0000000B">
            <w:pPr>
              <w:rPr/>
            </w:pPr>
            <w:r w:rsidDel="00000000" w:rsidR="00000000" w:rsidRPr="00000000">
              <w:rPr>
                <w:rtl w:val="0"/>
              </w:rPr>
              <w:t xml:space="preserve">Systems Engineering (SE)</w:t>
            </w:r>
          </w:p>
        </w:tc>
      </w:tr>
      <w:tr>
        <w:trPr>
          <w:cantSplit w:val="0"/>
          <w:tblHeader w:val="0"/>
        </w:trPr>
        <w:tc>
          <w:tcPr/>
          <w:p w:rsidR="00000000" w:rsidDel="00000000" w:rsidP="00000000" w:rsidRDefault="00000000" w:rsidRPr="00000000" w14:paraId="0000000C">
            <w:pPr>
              <w:rPr>
                <w:b w:val="1"/>
              </w:rPr>
            </w:pPr>
            <w:r w:rsidDel="00000000" w:rsidR="00000000" w:rsidRPr="00000000">
              <w:rPr>
                <w:b w:val="1"/>
                <w:rtl w:val="0"/>
              </w:rPr>
              <w:t xml:space="preserve">Date</w:t>
            </w:r>
          </w:p>
        </w:tc>
        <w:tc>
          <w:tcPr/>
          <w:p w:rsidR="00000000" w:rsidDel="00000000" w:rsidP="00000000" w:rsidRDefault="00000000" w:rsidRPr="00000000" w14:paraId="0000000D">
            <w:pPr>
              <w:rPr/>
            </w:pPr>
            <w:r w:rsidDel="00000000" w:rsidR="00000000" w:rsidRPr="00000000">
              <w:rPr>
                <w:rtl w:val="0"/>
              </w:rPr>
              <w:t xml:space="preserve">June 17, 2025</w:t>
            </w:r>
          </w:p>
        </w:tc>
      </w:tr>
      <w:tr>
        <w:trPr>
          <w:cantSplit w:val="0"/>
          <w:tblHeader w:val="0"/>
        </w:trPr>
        <w:tc>
          <w:tcPr/>
          <w:p w:rsidR="00000000" w:rsidDel="00000000" w:rsidP="00000000" w:rsidRDefault="00000000" w:rsidRPr="00000000" w14:paraId="0000000E">
            <w:pPr>
              <w:rPr>
                <w:b w:val="1"/>
              </w:rPr>
            </w:pPr>
            <w:r w:rsidDel="00000000" w:rsidR="00000000" w:rsidRPr="00000000">
              <w:rPr>
                <w:b w:val="1"/>
                <w:rtl w:val="0"/>
              </w:rPr>
              <w:t xml:space="preserve">Short Description</w:t>
            </w:r>
          </w:p>
        </w:tc>
        <w:tc>
          <w:tcPr/>
          <w:p w:rsidR="00000000" w:rsidDel="00000000" w:rsidP="00000000" w:rsidRDefault="00000000" w:rsidRPr="00000000" w14:paraId="0000000F">
            <w:pPr>
              <w:rPr>
                <w:b w:val="1"/>
              </w:rPr>
            </w:pPr>
            <w:r w:rsidDel="00000000" w:rsidR="00000000" w:rsidRPr="00000000">
              <w:rPr>
                <w:b w:val="1"/>
                <w:rtl w:val="0"/>
              </w:rPr>
              <w:t xml:space="preserve">Background:</w:t>
            </w:r>
          </w:p>
          <w:p w:rsidR="00000000" w:rsidDel="00000000" w:rsidP="00000000" w:rsidRDefault="00000000" w:rsidRPr="00000000" w14:paraId="00000010">
            <w:pPr>
              <w:rPr/>
            </w:pPr>
            <w:r w:rsidDel="00000000" w:rsidR="00000000" w:rsidRPr="00000000">
              <w:rPr>
                <w:rtl w:val="0"/>
              </w:rPr>
              <w:t xml:space="preserve">Lithium-ion batteries are manufactured in diverse form factors, including cylindrical, coin, pouch, and prismatic cells, each with unique designs and functions. These varied cell architectures, across different </w:t>
            </w:r>
            <w:r w:rsidDel="00000000" w:rsidR="00000000" w:rsidRPr="00000000">
              <w:rPr>
                <w:b w:val="0"/>
                <w:rtl w:val="0"/>
              </w:rPr>
              <w:t xml:space="preserve">manufacturers</w:t>
            </w:r>
            <w:r w:rsidDel="00000000" w:rsidR="00000000" w:rsidRPr="00000000">
              <w:rPr>
                <w:rtl w:val="0"/>
              </w:rPr>
              <w:t xml:space="preserve">, demand exceptionally rigorous control over input materials, particularly the powders used in electrodes and solid-state electrolytes. Among these powders, particle size and surface area are two critical parameters that require exquisite control within extremely narrow tolerance ranges. Achieving the highly precise and narrowly distributed metrics unique to each cell type and </w:t>
            </w:r>
            <w:r w:rsidDel="00000000" w:rsidR="00000000" w:rsidRPr="00000000">
              <w:rPr>
                <w:b w:val="0"/>
                <w:rtl w:val="0"/>
              </w:rPr>
              <w:t xml:space="preserve">manufacturer</w:t>
            </w:r>
            <w:r w:rsidDel="00000000" w:rsidR="00000000" w:rsidRPr="00000000">
              <w:rPr>
                <w:rtl w:val="0"/>
              </w:rPr>
              <w:t xml:space="preserve"> is paramount for battery performance and reliability.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Description</w:t>
            </w:r>
          </w:p>
          <w:p w:rsidR="00000000" w:rsidDel="00000000" w:rsidP="00000000" w:rsidRDefault="00000000" w:rsidRPr="00000000" w14:paraId="00000013">
            <w:pPr>
              <w:rPr/>
            </w:pPr>
            <w:r w:rsidDel="00000000" w:rsidR="00000000" w:rsidRPr="00000000">
              <w:rPr>
                <w:rtl w:val="0"/>
              </w:rPr>
              <w:t xml:space="preserve">Battery manufacturers employ a range of size reduction and classification techniques—such as cryogenic milling, jet milling, and air classification—to precisely control particle morphology and surface area. These processes are critical for improving energy density, safety, and cycle life in both conventional and solid-state systems.</w:t>
              <w:br w:type="textWrapping"/>
              <w:t xml:space="preserve">The materials to examine will include:</w:t>
            </w:r>
          </w:p>
          <w:p w:rsidR="00000000" w:rsidDel="00000000" w:rsidP="00000000" w:rsidRDefault="00000000" w:rsidRPr="00000000" w14:paraId="00000014">
            <w:pPr>
              <w:numPr>
                <w:ilvl w:val="0"/>
                <w:numId w:val="1"/>
              </w:numPr>
              <w:ind w:left="720" w:hanging="360"/>
              <w:rPr/>
            </w:pPr>
            <w:r w:rsidDel="00000000" w:rsidR="00000000" w:rsidRPr="00000000">
              <w:rPr>
                <w:b w:val="1"/>
                <w:rtl w:val="0"/>
              </w:rPr>
              <w:t xml:space="preserve">Cathode/anode active materials</w:t>
            </w:r>
            <w:r w:rsidDel="00000000" w:rsidR="00000000" w:rsidRPr="00000000">
              <w:rPr>
                <w:rtl w:val="0"/>
              </w:rPr>
              <w:t xml:space="preserve"> (e.g., NCM, LFP, LCO, Graphite, Si-C)</w:t>
            </w:r>
          </w:p>
          <w:p w:rsidR="00000000" w:rsidDel="00000000" w:rsidP="00000000" w:rsidRDefault="00000000" w:rsidRPr="00000000" w14:paraId="00000015">
            <w:pPr>
              <w:numPr>
                <w:ilvl w:val="0"/>
                <w:numId w:val="1"/>
              </w:numPr>
              <w:ind w:left="720" w:hanging="360"/>
              <w:rPr/>
            </w:pPr>
            <w:r w:rsidDel="00000000" w:rsidR="00000000" w:rsidRPr="00000000">
              <w:rPr>
                <w:b w:val="1"/>
                <w:rtl w:val="0"/>
              </w:rPr>
              <w:t xml:space="preserve">Solid-state electrolytes</w:t>
            </w:r>
            <w:r w:rsidDel="00000000" w:rsidR="00000000" w:rsidRPr="00000000">
              <w:rPr>
                <w:rtl w:val="0"/>
              </w:rPr>
              <w:t xml:space="preserve"> (e.g., LPSCl, LLZO, LATP)</w:t>
            </w:r>
          </w:p>
          <w:p w:rsidR="00000000" w:rsidDel="00000000" w:rsidP="00000000" w:rsidRDefault="00000000" w:rsidRPr="00000000" w14:paraId="00000016">
            <w:pPr>
              <w:rPr/>
            </w:pPr>
            <w:r w:rsidDel="00000000" w:rsidR="00000000" w:rsidRPr="00000000">
              <w:rPr>
                <w:rtl w:val="0"/>
              </w:rPr>
              <w:t xml:space="preserve">Additionally, the review will discuss how equipment selection—such as the use of cryogenic ball milling for silicon processing—affects particle size, shape, surface area, and the potential for material contamination.</w:t>
            </w:r>
          </w:p>
          <w:p w:rsidR="00000000" w:rsidDel="00000000" w:rsidP="00000000" w:rsidRDefault="00000000" w:rsidRPr="00000000" w14:paraId="00000017">
            <w:pPr>
              <w:rPr/>
            </w:pPr>
            <w:r w:rsidDel="00000000" w:rsidR="00000000" w:rsidRPr="00000000">
              <w:rPr>
                <w:rtl w:val="0"/>
              </w:rPr>
            </w:r>
          </w:p>
        </w:tc>
      </w:tr>
      <w:tr>
        <w:trPr>
          <w:cantSplit w:val="0"/>
          <w:tblHeader w:val="0"/>
        </w:trPr>
        <w:tc>
          <w:tcPr/>
          <w:p w:rsidR="00000000" w:rsidDel="00000000" w:rsidP="00000000" w:rsidRDefault="00000000" w:rsidRPr="00000000" w14:paraId="00000018">
            <w:pPr>
              <w:rPr>
                <w:b w:val="1"/>
              </w:rPr>
            </w:pPr>
            <w:r w:rsidDel="00000000" w:rsidR="00000000" w:rsidRPr="00000000">
              <w:rPr>
                <w:b w:val="1"/>
                <w:rtl w:val="0"/>
              </w:rPr>
              <w:t xml:space="preserve">Objectives</w:t>
            </w:r>
          </w:p>
        </w:tc>
        <w:tc>
          <w:tcPr/>
          <w:p w:rsidR="00000000" w:rsidDel="00000000" w:rsidP="00000000" w:rsidRDefault="00000000" w:rsidRPr="00000000" w14:paraId="00000019">
            <w:pPr>
              <w:rPr/>
            </w:pPr>
            <w:r w:rsidDel="00000000" w:rsidR="00000000" w:rsidRPr="00000000">
              <w:rPr>
                <w:rtl w:val="0"/>
              </w:rPr>
              <w:t xml:space="preserve">This review provides an overview of the technologies currently used for size reduction and classification in the production of cathode, anode, and solid electrolyte materials.  </w:t>
            </w:r>
          </w:p>
          <w:p w:rsidR="00000000" w:rsidDel="00000000" w:rsidP="00000000" w:rsidRDefault="00000000" w:rsidRPr="00000000" w14:paraId="0000001A">
            <w:pPr>
              <w:rPr/>
            </w:pPr>
            <w:r w:rsidDel="00000000" w:rsidR="00000000" w:rsidRPr="00000000">
              <w:rPr>
                <w:rtl w:val="0"/>
              </w:rPr>
              <w:t xml:space="preserve">Additional particle processes are used and will be briefly discussed.</w:t>
            </w:r>
          </w:p>
          <w:p w:rsidR="00000000" w:rsidDel="00000000" w:rsidP="00000000" w:rsidRDefault="00000000" w:rsidRPr="00000000" w14:paraId="0000001B">
            <w:pPr>
              <w:rPr/>
            </w:pPr>
            <w:r w:rsidDel="00000000" w:rsidR="00000000" w:rsidRPr="00000000">
              <w:rPr>
                <w:rtl w:val="0"/>
              </w:rPr>
              <w:t xml:space="preserve">Opportunities and gaps to address in future research will be identified</w:t>
            </w:r>
          </w:p>
        </w:tc>
      </w:tr>
      <w:tr>
        <w:trPr>
          <w:cantSplit w:val="0"/>
          <w:tblHeader w:val="0"/>
        </w:trPr>
        <w:tc>
          <w:tcPr/>
          <w:p w:rsidR="00000000" w:rsidDel="00000000" w:rsidP="00000000" w:rsidRDefault="00000000" w:rsidRPr="00000000" w14:paraId="0000001C">
            <w:pPr>
              <w:rPr>
                <w:b w:val="1"/>
              </w:rPr>
            </w:pPr>
            <w:r w:rsidDel="00000000" w:rsidR="00000000" w:rsidRPr="00000000">
              <w:rPr>
                <w:b w:val="1"/>
                <w:rtl w:val="0"/>
              </w:rPr>
              <w:t xml:space="preserve">Scope</w:t>
            </w:r>
          </w:p>
        </w:tc>
        <w:tc>
          <w:tcPr/>
          <w:p w:rsidR="00000000" w:rsidDel="00000000" w:rsidP="00000000" w:rsidRDefault="00000000" w:rsidRPr="00000000" w14:paraId="0000001D">
            <w:pPr>
              <w:rPr/>
            </w:pPr>
            <w:r w:rsidDel="00000000" w:rsidR="00000000" w:rsidRPr="00000000">
              <w:rPr>
                <w:rtl w:val="0"/>
              </w:rPr>
              <w:t xml:space="preserve">Emphasis will be on particulate materials for li-ion batteries.</w:t>
            </w:r>
          </w:p>
        </w:tc>
      </w:tr>
    </w:tbl>
    <w:p w:rsidR="00000000" w:rsidDel="00000000" w:rsidP="00000000" w:rsidRDefault="00000000" w:rsidRPr="00000000" w14:paraId="0000001E">
      <w:pPr>
        <w:rPr/>
      </w:pPr>
      <w:r w:rsidDel="00000000" w:rsidR="00000000" w:rsidRPr="00000000">
        <w:rPr>
          <w:rtl w:val="0"/>
        </w:rPr>
      </w:r>
    </w:p>
    <w:tbl>
      <w:tblPr>
        <w:tblStyle w:val="Table2"/>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8"/>
        <w:gridCol w:w="2968"/>
        <w:gridCol w:w="2969"/>
        <w:tblGridChange w:id="0">
          <w:tblGrid>
            <w:gridCol w:w="2968"/>
            <w:gridCol w:w="2968"/>
            <w:gridCol w:w="2969"/>
          </w:tblGrid>
        </w:tblGridChange>
      </w:tblGrid>
      <w:tr>
        <w:trPr>
          <w:cantSplit w:val="0"/>
          <w:tblHeader w:val="0"/>
        </w:trPr>
        <w:tc>
          <w:tcPr>
            <w:gridSpan w:val="3"/>
          </w:tcPr>
          <w:p w:rsidR="00000000" w:rsidDel="00000000" w:rsidP="00000000" w:rsidRDefault="00000000" w:rsidRPr="00000000" w14:paraId="0000001F">
            <w:pPr>
              <w:jc w:val="center"/>
              <w:rPr>
                <w:b w:val="1"/>
              </w:rPr>
            </w:pPr>
            <w:r w:rsidDel="00000000" w:rsidR="00000000" w:rsidRPr="00000000">
              <w:rPr>
                <w:b w:val="1"/>
                <w:rtl w:val="0"/>
              </w:rPr>
              <w:t xml:space="preserve">Recommended Contractors (2 or 3)</w:t>
            </w:r>
          </w:p>
        </w:tc>
      </w:tr>
      <w:tr>
        <w:trPr>
          <w:cantSplit w:val="0"/>
          <w:tblHeader w:val="0"/>
        </w:trPr>
        <w:tc>
          <w:tcPr/>
          <w:p w:rsidR="00000000" w:rsidDel="00000000" w:rsidP="00000000" w:rsidRDefault="00000000" w:rsidRPr="00000000" w14:paraId="00000022">
            <w:pPr>
              <w:jc w:val="center"/>
              <w:rPr>
                <w:b w:val="1"/>
              </w:rPr>
            </w:pPr>
            <w:r w:rsidDel="00000000" w:rsidR="00000000" w:rsidRPr="00000000">
              <w:rPr>
                <w:b w:val="1"/>
                <w:rtl w:val="0"/>
              </w:rPr>
              <w:t xml:space="preserve">Name</w:t>
            </w:r>
          </w:p>
        </w:tc>
        <w:tc>
          <w:tcPr/>
          <w:p w:rsidR="00000000" w:rsidDel="00000000" w:rsidP="00000000" w:rsidRDefault="00000000" w:rsidRPr="00000000" w14:paraId="00000023">
            <w:pPr>
              <w:jc w:val="center"/>
              <w:rPr>
                <w:b w:val="1"/>
              </w:rPr>
            </w:pPr>
            <w:r w:rsidDel="00000000" w:rsidR="00000000" w:rsidRPr="00000000">
              <w:rPr>
                <w:b w:val="1"/>
                <w:rtl w:val="0"/>
              </w:rPr>
              <w:t xml:space="preserve">Institution</w:t>
            </w:r>
          </w:p>
        </w:tc>
        <w:tc>
          <w:tcPr/>
          <w:p w:rsidR="00000000" w:rsidDel="00000000" w:rsidP="00000000" w:rsidRDefault="00000000" w:rsidRPr="00000000" w14:paraId="00000024">
            <w:pPr>
              <w:jc w:val="center"/>
              <w:rPr>
                <w:b w:val="1"/>
              </w:rPr>
            </w:pPr>
            <w:r w:rsidDel="00000000" w:rsidR="00000000" w:rsidRPr="00000000">
              <w:rPr>
                <w:b w:val="1"/>
                <w:rtl w:val="0"/>
              </w:rPr>
              <w:t xml:space="preserve">Email Address</w:t>
            </w:r>
          </w:p>
        </w:tc>
      </w:tr>
      <w:tr>
        <w:trPr>
          <w:cantSplit w:val="0"/>
          <w:tblHeader w:val="0"/>
        </w:trPr>
        <w:tc>
          <w:tcPr/>
          <w:p w:rsidR="00000000" w:rsidDel="00000000" w:rsidP="00000000" w:rsidRDefault="00000000" w:rsidRPr="00000000" w14:paraId="00000025">
            <w:pPr>
              <w:rPr/>
            </w:pPr>
            <w:r w:rsidDel="00000000" w:rsidR="00000000" w:rsidRPr="00000000">
              <w:rPr>
                <w:rtl w:val="0"/>
              </w:rPr>
              <w:t xml:space="preserve">Gary Liu</w:t>
            </w:r>
          </w:p>
        </w:tc>
        <w:tc>
          <w:tcPr/>
          <w:p w:rsidR="00000000" w:rsidDel="00000000" w:rsidP="00000000" w:rsidRDefault="00000000" w:rsidRPr="00000000" w14:paraId="00000026">
            <w:pPr>
              <w:rPr/>
            </w:pPr>
            <w:r w:rsidDel="00000000" w:rsidR="00000000" w:rsidRPr="00000000">
              <w:rPr>
                <w:rtl w:val="0"/>
              </w:rPr>
              <w:t xml:space="preserve">Shenzhen University</w:t>
            </w:r>
          </w:p>
        </w:tc>
        <w:tc>
          <w:tcPr/>
          <w:p w:rsidR="00000000" w:rsidDel="00000000" w:rsidP="00000000" w:rsidRDefault="00000000" w:rsidRPr="00000000" w14:paraId="00000027">
            <w:pPr>
              <w:rPr/>
            </w:pPr>
            <w:r w:rsidDel="00000000" w:rsidR="00000000" w:rsidRPr="00000000">
              <w:rPr>
                <w:rtl w:val="0"/>
              </w:rPr>
              <w:t xml:space="preserve">ggliu@szu.edu.cn</w:t>
            </w:r>
          </w:p>
        </w:tc>
      </w:tr>
      <w:tr>
        <w:trPr>
          <w:cantSplit w:val="0"/>
          <w:tblHeader w:val="0"/>
        </w:trPr>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r>
          </w:p>
        </w:tc>
      </w:tr>
      <w:tr>
        <w:trPr>
          <w:cantSplit w:val="0"/>
          <w:tblHeader w:val="0"/>
        </w:trPr>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tbl>
      <w:tblPr>
        <w:tblStyle w:val="Table3"/>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4590"/>
        <w:tblGridChange w:id="0">
          <w:tblGrid>
            <w:gridCol w:w="4315"/>
            <w:gridCol w:w="4590"/>
          </w:tblGrid>
        </w:tblGridChange>
      </w:tblGrid>
      <w:tr>
        <w:trPr>
          <w:cantSplit w:val="0"/>
          <w:tblHeader w:val="0"/>
        </w:trPr>
        <w:tc>
          <w:tcPr>
            <w:gridSpan w:val="2"/>
          </w:tcPr>
          <w:p w:rsidR="00000000" w:rsidDel="00000000" w:rsidP="00000000" w:rsidRDefault="00000000" w:rsidRPr="00000000" w14:paraId="0000002F">
            <w:pPr>
              <w:jc w:val="center"/>
              <w:rPr>
                <w:b w:val="1"/>
              </w:rPr>
            </w:pPr>
            <w:r w:rsidDel="00000000" w:rsidR="00000000" w:rsidRPr="00000000">
              <w:rPr>
                <w:b w:val="1"/>
                <w:rtl w:val="0"/>
              </w:rPr>
              <w:t xml:space="preserve">Submitted By:</w:t>
            </w:r>
          </w:p>
        </w:tc>
      </w:tr>
      <w:tr>
        <w:trPr>
          <w:cantSplit w:val="0"/>
          <w:tblHeader w:val="0"/>
        </w:trPr>
        <w:tc>
          <w:tcPr/>
          <w:p w:rsidR="00000000" w:rsidDel="00000000" w:rsidP="00000000" w:rsidRDefault="00000000" w:rsidRPr="00000000" w14:paraId="00000031">
            <w:pPr>
              <w:jc w:val="center"/>
              <w:rPr>
                <w:b w:val="1"/>
              </w:rPr>
            </w:pPr>
            <w:r w:rsidDel="00000000" w:rsidR="00000000" w:rsidRPr="00000000">
              <w:rPr>
                <w:b w:val="1"/>
                <w:rtl w:val="0"/>
              </w:rPr>
              <w:t xml:space="preserve">Name</w:t>
            </w:r>
          </w:p>
        </w:tc>
        <w:tc>
          <w:tcPr/>
          <w:p w:rsidR="00000000" w:rsidDel="00000000" w:rsidP="00000000" w:rsidRDefault="00000000" w:rsidRPr="00000000" w14:paraId="00000032">
            <w:pPr>
              <w:jc w:val="center"/>
              <w:rPr>
                <w:b w:val="1"/>
              </w:rPr>
            </w:pPr>
            <w:r w:rsidDel="00000000" w:rsidR="00000000" w:rsidRPr="00000000">
              <w:rPr>
                <w:b w:val="1"/>
                <w:rtl w:val="0"/>
              </w:rPr>
              <w:t xml:space="preserve">Organization</w:t>
            </w:r>
          </w:p>
        </w:tc>
      </w:tr>
      <w:tr>
        <w:trPr>
          <w:cantSplit w:val="0"/>
          <w:tblHeader w:val="0"/>
        </w:trPr>
        <w:tc>
          <w:tcPr/>
          <w:p w:rsidR="00000000" w:rsidDel="00000000" w:rsidP="00000000" w:rsidRDefault="00000000" w:rsidRPr="00000000" w14:paraId="00000033">
            <w:pPr>
              <w:rPr/>
            </w:pPr>
            <w:r w:rsidDel="00000000" w:rsidR="00000000" w:rsidRPr="00000000">
              <w:rPr>
                <w:rtl w:val="0"/>
              </w:rPr>
              <w:t xml:space="preserve">Rajeev Gorowara</w:t>
            </w:r>
          </w:p>
        </w:tc>
        <w:tc>
          <w:tcPr/>
          <w:p w:rsidR="00000000" w:rsidDel="00000000" w:rsidP="00000000" w:rsidRDefault="00000000" w:rsidRPr="00000000" w14:paraId="00000034">
            <w:pPr>
              <w:rPr/>
            </w:pPr>
            <w:r w:rsidDel="00000000" w:rsidR="00000000" w:rsidRPr="00000000">
              <w:rPr>
                <w:rtl w:val="0"/>
              </w:rPr>
              <w:t xml:space="preserve">Chemours</w:t>
            </w:r>
          </w:p>
        </w:tc>
      </w:tr>
      <w:tr>
        <w:trPr>
          <w:cantSplit w:val="0"/>
          <w:tblHeader w:val="0"/>
        </w:trPr>
        <w:tc>
          <w:tcPr/>
          <w:p w:rsidR="00000000" w:rsidDel="00000000" w:rsidP="00000000" w:rsidRDefault="00000000" w:rsidRPr="00000000" w14:paraId="00000035">
            <w:pPr>
              <w:rPr/>
            </w:pPr>
            <w:r w:rsidDel="00000000" w:rsidR="00000000" w:rsidRPr="00000000">
              <w:rPr>
                <w:rtl w:val="0"/>
              </w:rPr>
              <w:t xml:space="preserve">Peter Bergstrom</w:t>
            </w:r>
          </w:p>
        </w:tc>
        <w:tc>
          <w:tcPr/>
          <w:p w:rsidR="00000000" w:rsidDel="00000000" w:rsidP="00000000" w:rsidRDefault="00000000" w:rsidRPr="00000000" w14:paraId="00000036">
            <w:pPr>
              <w:rPr/>
            </w:pPr>
            <w:r w:rsidDel="00000000" w:rsidR="00000000" w:rsidRPr="00000000">
              <w:rPr>
                <w:rtl w:val="0"/>
              </w:rPr>
              <w:t xml:space="preserve">Sila Nanotechnologies</w:t>
            </w:r>
          </w:p>
        </w:tc>
      </w:tr>
      <w:tr>
        <w:trPr>
          <w:cantSplit w:val="0"/>
          <w:tblHeader w:val="0"/>
        </w:trPr>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r>
      <w:tr>
        <w:trPr>
          <w:cantSplit w:val="0"/>
          <w:tblHeader w:val="0"/>
        </w:trPr>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r>
    </w:tbl>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feedback- </w:t>
      </w:r>
    </w:p>
    <w:p w:rsidR="00000000" w:rsidDel="00000000" w:rsidP="00000000" w:rsidRDefault="00000000" w:rsidRPr="00000000" w14:paraId="0000003D">
      <w:pPr>
        <w:numPr>
          <w:ilvl w:val="0"/>
          <w:numId w:val="2"/>
        </w:numPr>
        <w:ind w:left="720" w:hanging="360"/>
        <w:rPr>
          <w:u w:val="none"/>
        </w:rPr>
      </w:pPr>
      <w:r w:rsidDel="00000000" w:rsidR="00000000" w:rsidRPr="00000000">
        <w:rPr>
          <w:rtl w:val="0"/>
        </w:rPr>
        <w:t xml:space="preserve">broaden scope to applications outside of batteries: Simon. </w:t>
      </w:r>
    </w:p>
    <w:p w:rsidR="00000000" w:rsidDel="00000000" w:rsidP="00000000" w:rsidRDefault="00000000" w:rsidRPr="00000000" w14:paraId="0000003E">
      <w:pPr>
        <w:numPr>
          <w:ilvl w:val="0"/>
          <w:numId w:val="2"/>
        </w:numPr>
        <w:ind w:left="720" w:hanging="360"/>
        <w:rPr>
          <w:u w:val="none"/>
        </w:rPr>
      </w:pPr>
      <w:r w:rsidDel="00000000" w:rsidR="00000000" w:rsidRPr="00000000">
        <w:rPr>
          <w:rtl w:val="0"/>
        </w:rPr>
        <w:t xml:space="preserve">include safety and handling of hazardous materials.</w:t>
      </w:r>
    </w:p>
    <w:p w:rsidR="00000000" w:rsidDel="00000000" w:rsidP="00000000" w:rsidRDefault="00000000" w:rsidRPr="00000000" w14:paraId="0000003F">
      <w:pPr>
        <w:rPr/>
      </w:pPr>
      <w:r w:rsidDel="00000000" w:rsidR="00000000" w:rsidRPr="00000000">
        <w:rPr>
          <w:rtl w:val="0"/>
        </w:rPr>
      </w:r>
    </w:p>
    <w:sectPr>
      <w:headerReference r:id="rId8" w:type="default"/>
      <w:headerReference r:id="rId9" w:type="first"/>
      <w:footerReference r:id="rId10" w:type="default"/>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tabs>
        <w:tab w:val="left" w:leader="none" w:pos="3480"/>
        <w:tab w:val="left" w:leader="none" w:pos="3645"/>
      </w:tabs>
      <w:rPr/>
    </w:pPr>
    <w:r w:rsidDel="00000000" w:rsidR="00000000" w:rsidRPr="00000000">
      <w:rPr>
        <w:rtl w:val="0"/>
      </w:rPr>
      <w:tab/>
      <w:t xml:space="preserve">Template v.1.0 - RB</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Title used in meeting agendas and file archives</w:t>
      </w:r>
    </w:p>
  </w:footnote>
  <w:footnote w:id="1">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One or more from the following list:  W = wet systems; D = dry systems; F = particle formation; SR = size reduction; M = modeling; SE = systems engineering</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center"/>
      <w:rPr>
        <w:b w:val="1"/>
        <w:smallCaps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jc w:val="center"/>
      <w:rPr>
        <w:b w:val="1"/>
        <w:smallCaps w:val="1"/>
        <w:sz w:val="28"/>
        <w:szCs w:val="28"/>
      </w:rPr>
    </w:pPr>
    <w:r w:rsidDel="00000000" w:rsidR="00000000" w:rsidRPr="00000000">
      <w:rPr>
        <w:b w:val="1"/>
        <w:smallCaps w:val="1"/>
        <w:sz w:val="28"/>
        <w:szCs w:val="28"/>
      </w:rPr>
      <w:drawing>
        <wp:inline distB="0" distT="0" distL="0" distR="0">
          <wp:extent cx="1620476" cy="684827"/>
          <wp:effectExtent b="0" l="0" r="0" t="0"/>
          <wp:docPr descr="C:\Users\Home\Google Drive\IFPRI\Logos\newlogov1.jpg" id="3" name="image1.jpg"/>
          <a:graphic>
            <a:graphicData uri="http://schemas.openxmlformats.org/drawingml/2006/picture">
              <pic:pic>
                <pic:nvPicPr>
                  <pic:cNvPr descr="C:\Users\Home\Google Drive\IFPRI\Logos\newlogov1.jpg" id="0" name="image1.jpg"/>
                  <pic:cNvPicPr preferRelativeResize="0"/>
                </pic:nvPicPr>
                <pic:blipFill>
                  <a:blip r:embed="rId1"/>
                  <a:srcRect b="0" l="0" r="0" t="0"/>
                  <a:stretch>
                    <a:fillRect/>
                  </a:stretch>
                </pic:blipFill>
                <pic:spPr>
                  <a:xfrm>
                    <a:off x="0" y="0"/>
                    <a:ext cx="1620476" cy="684827"/>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jc w:val="center"/>
      <w:rPr>
        <w:b w:val="1"/>
        <w:smallCaps w:val="1"/>
        <w:sz w:val="28"/>
        <w:szCs w:val="28"/>
      </w:rPr>
    </w:pPr>
    <w:r w:rsidDel="00000000" w:rsidR="00000000" w:rsidRPr="00000000">
      <w:rPr>
        <w:b w:val="1"/>
        <w:smallCaps w:val="1"/>
        <w:sz w:val="28"/>
        <w:szCs w:val="28"/>
        <w:rtl w:val="0"/>
      </w:rPr>
      <w:t xml:space="preserve">IFPRI  Brief Template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ko-K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erChar" w:customStyle="1">
    <w:name w:val="Header Char"/>
    <w:basedOn w:val="DefaultParagraphFont"/>
    <w:link w:val="Header"/>
    <w:uiPriority w:val="99"/>
    <w:rsid w:val="00854B50"/>
    <w:rPr>
      <w:sz w:val="24"/>
      <w:szCs w:val="24"/>
      <w:lang w:eastAsia="ko-KR"/>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rsid w:val="000E4F36"/>
    <w:rPr>
      <w:sz w:val="20"/>
      <w:szCs w:val="20"/>
    </w:rPr>
  </w:style>
  <w:style w:type="character" w:styleId="FootnoteTextChar" w:customStyle="1">
    <w:name w:val="Footnote Text Char"/>
    <w:basedOn w:val="DefaultParagraphFont"/>
    <w:link w:val="FootnoteText"/>
    <w:rsid w:val="000E4F36"/>
    <w:rPr>
      <w:lang w:eastAsia="ko-KR"/>
    </w:rPr>
  </w:style>
  <w:style w:type="character" w:styleId="FootnoteReference">
    <w:name w:val="footnote reference"/>
    <w:basedOn w:val="DefaultParagraphFont"/>
    <w:rsid w:val="000E4F36"/>
    <w:rPr>
      <w:vertAlign w:val="superscript"/>
    </w:rPr>
  </w:style>
  <w:style w:type="table" w:styleId="TableGrid">
    <w:name w:val="Table Grid"/>
    <w:basedOn w:val="TableNormal"/>
    <w:rsid w:val="001D3FB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175C36"/>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DaWXAZqHozMzq7lDaCKKZKiO2w==">CgMxLjA4AHIhMVgwenFqUFNHSGwzZDhZc2tqSUt5cGtOLXNwV2FLbVo5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2025-06-18T05:50:00Z</dcterms:created>
  <dc:creator>Boerefijn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