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80"/>
        <w:rPr>
          <w:b w:val="1"/>
        </w:rPr>
      </w:pPr>
      <w:r w:rsidDel="00000000" w:rsidR="00000000" w:rsidRPr="00000000">
        <w:rPr>
          <w:b w:val="1"/>
          <w:rtl w:val="0"/>
        </w:rPr>
        <w:t xml:space="preserve">Check One:    </w:t>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Project</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Review</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Collaboration</w:t>
      </w:r>
    </w:p>
    <w:p w:rsidR="00000000" w:rsidDel="00000000" w:rsidP="00000000" w:rsidRDefault="00000000" w:rsidRPr="00000000" w14:paraId="00000002">
      <w:pPr>
        <w:ind w:right="-180"/>
        <w:rPr>
          <w:b w:val="1"/>
        </w:rPr>
      </w:pPr>
      <w:r w:rsidDel="00000000" w:rsidR="00000000" w:rsidRPr="00000000">
        <w:rPr>
          <w:b w:val="1"/>
          <w:rtl w:val="0"/>
        </w:rPr>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Workshop</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Other</w:t>
      </w:r>
    </w:p>
    <w:p w:rsidR="00000000" w:rsidDel="00000000" w:rsidP="00000000" w:rsidRDefault="00000000" w:rsidRPr="00000000" w14:paraId="00000003">
      <w:pPr>
        <w:ind w:right="-90"/>
        <w:rPr/>
      </w:pPr>
      <w:r w:rsidDel="00000000" w:rsidR="00000000" w:rsidRPr="00000000">
        <w:rPr>
          <w:rtl w:val="0"/>
        </w:rPr>
      </w:r>
    </w:p>
    <w:tbl>
      <w:tblPr>
        <w:tblStyle w:val="Table1"/>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6840"/>
        <w:tblGridChange w:id="0">
          <w:tblGrid>
            <w:gridCol w:w="2065"/>
            <w:gridCol w:w="6840"/>
          </w:tblGrid>
        </w:tblGridChange>
      </w:tblGrid>
      <w:tr>
        <w:trPr>
          <w:cantSplit w:val="0"/>
          <w:tblHeader w:val="0"/>
        </w:trPr>
        <w:tc>
          <w:tcPr/>
          <w:p w:rsidR="00000000" w:rsidDel="00000000" w:rsidP="00000000" w:rsidRDefault="00000000" w:rsidRPr="00000000" w14:paraId="00000004">
            <w:pPr>
              <w:rPr>
                <w:b w:val="1"/>
              </w:rPr>
            </w:pPr>
            <w:r w:rsidDel="00000000" w:rsidR="00000000" w:rsidRPr="00000000">
              <w:rPr>
                <w:b w:val="1"/>
                <w:rtl w:val="0"/>
              </w:rPr>
              <w:t xml:space="preserve">Descriptive Title</w:t>
            </w:r>
          </w:p>
        </w:tc>
        <w:tc>
          <w:tcPr/>
          <w:p w:rsidR="00000000" w:rsidDel="00000000" w:rsidP="00000000" w:rsidRDefault="00000000" w:rsidRPr="00000000" w14:paraId="00000005">
            <w:pPr>
              <w:rPr/>
            </w:pPr>
            <w:r w:rsidDel="00000000" w:rsidR="00000000" w:rsidRPr="00000000">
              <w:rPr>
                <w:rtl w:val="0"/>
              </w:rPr>
              <w:t xml:space="preserve">Dust emission mechanisms and mitigation</w:t>
            </w:r>
          </w:p>
          <w:p w:rsidR="00000000" w:rsidDel="00000000" w:rsidP="00000000" w:rsidRDefault="00000000" w:rsidRPr="00000000" w14:paraId="00000006">
            <w:pPr>
              <w:rPr/>
            </w:pP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Working Title</w:t>
            </w:r>
            <w:r w:rsidDel="00000000" w:rsidR="00000000" w:rsidRPr="00000000">
              <w:rPr>
                <w:b w:val="1"/>
                <w:vertAlign w:val="superscript"/>
              </w:rPr>
              <w:footnoteReference w:customMarkFollows="0" w:id="0"/>
            </w: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t xml:space="preserve">Dust emission</w:t>
            </w:r>
          </w:p>
        </w:tc>
      </w:tr>
      <w:tr>
        <w:trPr>
          <w:cantSplit w:val="0"/>
          <w:tblHeader w:val="0"/>
        </w:trPr>
        <w:tc>
          <w:tcPr/>
          <w:p w:rsidR="00000000" w:rsidDel="00000000" w:rsidP="00000000" w:rsidRDefault="00000000" w:rsidRPr="00000000" w14:paraId="00000009">
            <w:pPr>
              <w:rPr>
                <w:b w:val="1"/>
              </w:rPr>
            </w:pPr>
            <w:r w:rsidDel="00000000" w:rsidR="00000000" w:rsidRPr="00000000">
              <w:rPr>
                <w:b w:val="1"/>
                <w:rtl w:val="0"/>
              </w:rPr>
              <w:t xml:space="preserve">Technical Area</w:t>
            </w:r>
            <w:r w:rsidDel="00000000" w:rsidR="00000000" w:rsidRPr="00000000">
              <w:rPr>
                <w:b w:val="1"/>
                <w:vertAlign w:val="superscript"/>
              </w:rPr>
              <w:footnoteReference w:customMarkFollows="0" w:id="1"/>
            </w: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t xml:space="preserve">Dry Systems – DS</w:t>
            </w:r>
          </w:p>
        </w:tc>
      </w:tr>
      <w:tr>
        <w:trPr>
          <w:cantSplit w:val="0"/>
          <w:tblHeader w:val="0"/>
        </w:trPr>
        <w:tc>
          <w:tcPr/>
          <w:p w:rsidR="00000000" w:rsidDel="00000000" w:rsidP="00000000" w:rsidRDefault="00000000" w:rsidRPr="00000000" w14:paraId="0000000B">
            <w:pPr>
              <w:rPr>
                <w:b w:val="1"/>
              </w:rPr>
            </w:pPr>
            <w:r w:rsidDel="00000000" w:rsidR="00000000" w:rsidRPr="00000000">
              <w:rPr>
                <w:b w:val="1"/>
                <w:rtl w:val="0"/>
              </w:rPr>
              <w:t xml:space="preserve">Date</w:t>
            </w:r>
          </w:p>
        </w:tc>
        <w:tc>
          <w:tcPr/>
          <w:p w:rsidR="00000000" w:rsidDel="00000000" w:rsidP="00000000" w:rsidRDefault="00000000" w:rsidRPr="00000000" w14:paraId="0000000C">
            <w:pPr>
              <w:rPr/>
            </w:pPr>
            <w:r w:rsidDel="00000000" w:rsidR="00000000" w:rsidRPr="00000000">
              <w:rPr>
                <w:rtl w:val="0"/>
              </w:rPr>
              <w:t xml:space="preserve">June 2025</w:t>
            </w:r>
          </w:p>
        </w:tc>
      </w:tr>
      <w:tr>
        <w:trPr>
          <w:cantSplit w:val="0"/>
          <w:tblHeader w:val="0"/>
        </w:trPr>
        <w:tc>
          <w:tcPr/>
          <w:p w:rsidR="00000000" w:rsidDel="00000000" w:rsidP="00000000" w:rsidRDefault="00000000" w:rsidRPr="00000000" w14:paraId="0000000D">
            <w:pPr>
              <w:rPr>
                <w:b w:val="1"/>
              </w:rPr>
            </w:pPr>
            <w:r w:rsidDel="00000000" w:rsidR="00000000" w:rsidRPr="00000000">
              <w:rPr>
                <w:b w:val="1"/>
                <w:rtl w:val="0"/>
              </w:rPr>
              <w:t xml:space="preserve">Short Description</w:t>
            </w:r>
          </w:p>
        </w:tc>
        <w:tc>
          <w:tcPr/>
          <w:p w:rsidR="00000000" w:rsidDel="00000000" w:rsidP="00000000" w:rsidRDefault="00000000" w:rsidRPr="00000000" w14:paraId="0000000E">
            <w:pPr>
              <w:rPr/>
            </w:pPr>
            <w:r w:rsidDel="00000000" w:rsidR="00000000" w:rsidRPr="00000000">
              <w:rPr>
                <w:rtl w:val="0"/>
              </w:rPr>
              <w:t xml:space="preserve">A comprehensive review of the </w:t>
            </w:r>
            <w:r w:rsidDel="00000000" w:rsidR="00000000" w:rsidRPr="00000000">
              <w:rPr>
                <w:b w:val="1"/>
                <w:rtl w:val="0"/>
              </w:rPr>
              <w:t xml:space="preserve">mechanisms driving dust release</w:t>
            </w:r>
            <w:r w:rsidDel="00000000" w:rsidR="00000000" w:rsidRPr="00000000">
              <w:rPr>
                <w:rtl w:val="0"/>
              </w:rPr>
              <w:t xml:space="preserve"> from bulk or powder systems in industrial processes, along with the deposition and subsequent re-release of dust from surfaces. Furthermore, we want to review state-of-the-art </w:t>
            </w:r>
            <w:r w:rsidDel="00000000" w:rsidR="00000000" w:rsidRPr="00000000">
              <w:rPr>
                <w:b w:val="1"/>
                <w:rtl w:val="0"/>
              </w:rPr>
              <w:t xml:space="preserve">strategies for mitigating dust emissions</w:t>
            </w:r>
            <w:r w:rsidDel="00000000" w:rsidR="00000000" w:rsidRPr="00000000">
              <w:rPr>
                <w:rtl w:val="0"/>
              </w:rPr>
              <w:t xml:space="preserve">, identifying the most effective strategies and highlighting gaps in current knowledge that could inform future research and innovation in the field.</w:t>
            </w:r>
          </w:p>
          <w:p w:rsidR="00000000" w:rsidDel="00000000" w:rsidP="00000000" w:rsidRDefault="00000000" w:rsidRPr="00000000" w14:paraId="0000000F">
            <w:pPr>
              <w:rPr/>
            </w:pPr>
            <w:r w:rsidDel="00000000" w:rsidR="00000000" w:rsidRPr="00000000">
              <w:rPr>
                <w:rtl w:val="0"/>
              </w:rPr>
            </w:r>
          </w:p>
        </w:tc>
      </w:tr>
      <w:tr>
        <w:trPr>
          <w:cantSplit w:val="0"/>
          <w:tblHeader w:val="0"/>
        </w:trPr>
        <w:tc>
          <w:tcPr/>
          <w:p w:rsidR="00000000" w:rsidDel="00000000" w:rsidP="00000000" w:rsidRDefault="00000000" w:rsidRPr="00000000" w14:paraId="00000010">
            <w:pPr>
              <w:rPr>
                <w:b w:val="1"/>
              </w:rPr>
            </w:pPr>
            <w:r w:rsidDel="00000000" w:rsidR="00000000" w:rsidRPr="00000000">
              <w:rPr>
                <w:b w:val="1"/>
                <w:rtl w:val="0"/>
              </w:rPr>
              <w:t xml:space="preserve">Objectives</w:t>
            </w:r>
          </w:p>
        </w:tc>
        <w:tc>
          <w:tcPr/>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To deepen the understanding of the physical mechanisms behind dust generation and release.</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To assess and compare existing dust mitigation technologies.</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To identify knowledge gaps and propose directions for future research and industrial application.</w:t>
            </w:r>
          </w:p>
          <w:p w:rsidR="00000000" w:rsidDel="00000000" w:rsidP="00000000" w:rsidRDefault="00000000" w:rsidRPr="00000000" w14:paraId="00000014">
            <w:pPr>
              <w:rPr/>
            </w:pPr>
            <w:r w:rsidDel="00000000" w:rsidR="00000000" w:rsidRPr="00000000">
              <w:rPr>
                <w:rtl w:val="0"/>
              </w:rPr>
            </w:r>
          </w:p>
        </w:tc>
      </w:tr>
      <w:tr>
        <w:trPr>
          <w:cantSplit w:val="0"/>
          <w:tblHeader w:val="0"/>
        </w:trPr>
        <w:tc>
          <w:tcPr/>
          <w:p w:rsidR="00000000" w:rsidDel="00000000" w:rsidP="00000000" w:rsidRDefault="00000000" w:rsidRPr="00000000" w14:paraId="00000015">
            <w:pPr>
              <w:rPr>
                <w:b w:val="1"/>
              </w:rPr>
            </w:pPr>
            <w:r w:rsidDel="00000000" w:rsidR="00000000" w:rsidRPr="00000000">
              <w:rPr>
                <w:b w:val="1"/>
                <w:rtl w:val="0"/>
              </w:rPr>
              <w:t xml:space="preserve">Scope</w:t>
            </w:r>
          </w:p>
        </w:tc>
        <w:tc>
          <w:tcPr/>
          <w:p w:rsidR="00000000" w:rsidDel="00000000" w:rsidP="00000000" w:rsidRDefault="00000000" w:rsidRPr="00000000" w14:paraId="00000016">
            <w:pPr>
              <w:rPr/>
            </w:pPr>
            <w:r w:rsidDel="00000000" w:rsidR="00000000" w:rsidRPr="00000000">
              <w:rPr>
                <w:rtl w:val="0"/>
              </w:rPr>
              <w:t xml:space="preserve">Dust emissions from powders and bulk solids represent a significant challenge across various sectors, including material manufacturing, biotechnologies, pharmaceutical and food industries. Extensive research exists in the literature on release of dust from granular materials, along with some technical solutions to mitigate dust emissions; Further exploration is needed.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review should focus on state-of-the-art understanding of the dust release mechanisms from powders and bulk solids, as well as the deposition and subsequent release of particles from surfaces.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Not in scope of this review is particle movement post-release or the health impacts of dust exposure.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Specifically, the review should include the following:</w:t>
            </w:r>
          </w:p>
          <w:p w:rsidR="00000000" w:rsidDel="00000000" w:rsidP="00000000" w:rsidRDefault="00000000" w:rsidRPr="00000000" w14:paraId="0000001D">
            <w:pPr>
              <w:numPr>
                <w:ilvl w:val="0"/>
                <w:numId w:val="2"/>
              </w:numPr>
              <w:ind w:left="720" w:hanging="360"/>
              <w:rPr/>
            </w:pPr>
            <w:r w:rsidDel="00000000" w:rsidR="00000000" w:rsidRPr="00000000">
              <w:rPr>
                <w:b w:val="1"/>
                <w:rtl w:val="0"/>
              </w:rPr>
              <w:t xml:space="preserve">Mechanisms of dust release from bulk and powder </w:t>
            </w:r>
            <w:r w:rsidDel="00000000" w:rsidR="00000000" w:rsidRPr="00000000">
              <w:rPr>
                <w:rtl w:val="0"/>
              </w:rPr>
              <w:t xml:space="preserve">including the influence of particle parameters that affect dust release as well as meteorological parameters, e.g. temperature, humidity, wind speed and precipitation.</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An overview of existing </w:t>
            </w:r>
            <w:r w:rsidDel="00000000" w:rsidR="00000000" w:rsidRPr="00000000">
              <w:rPr>
                <w:b w:val="1"/>
                <w:rtl w:val="0"/>
              </w:rPr>
              <w:t xml:space="preserve">mitigation technologies</w:t>
            </w:r>
            <w:r w:rsidDel="00000000" w:rsidR="00000000" w:rsidRPr="00000000">
              <w:rPr>
                <w:rtl w:val="0"/>
              </w:rPr>
              <w:t xml:space="preserve"> to control dust release from powders and bulk solids, including an evaluation of the most effective approaches.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In addition, we would encourage the identification of knowledge gaps based on the review findings, which could serve as a foundation for future impactful projects in our research community.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To ensure comprehensive coverage, this review may be co-authored to address all relevant aspects thoroughly.</w:t>
            </w:r>
          </w:p>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2"/>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8"/>
        <w:gridCol w:w="2968"/>
        <w:gridCol w:w="2969"/>
        <w:tblGridChange w:id="0">
          <w:tblGrid>
            <w:gridCol w:w="2968"/>
            <w:gridCol w:w="2968"/>
            <w:gridCol w:w="2969"/>
          </w:tblGrid>
        </w:tblGridChange>
      </w:tblGrid>
      <w:tr>
        <w:trPr>
          <w:cantSplit w:val="0"/>
          <w:tblHeader w:val="0"/>
        </w:trPr>
        <w:tc>
          <w:tcPr>
            <w:gridSpan w:val="3"/>
          </w:tcPr>
          <w:p w:rsidR="00000000" w:rsidDel="00000000" w:rsidP="00000000" w:rsidRDefault="00000000" w:rsidRPr="00000000" w14:paraId="00000027">
            <w:pPr>
              <w:jc w:val="center"/>
              <w:rPr>
                <w:b w:val="1"/>
              </w:rPr>
            </w:pPr>
            <w:r w:rsidDel="00000000" w:rsidR="00000000" w:rsidRPr="00000000">
              <w:rPr>
                <w:b w:val="1"/>
                <w:rtl w:val="0"/>
              </w:rPr>
              <w:t xml:space="preserve">Recommended Contractors</w:t>
            </w:r>
          </w:p>
        </w:tc>
      </w:tr>
      <w:tr>
        <w:trPr>
          <w:cantSplit w:val="0"/>
          <w:tblHeader w:val="0"/>
        </w:trPr>
        <w:tc>
          <w:tcPr/>
          <w:p w:rsidR="00000000" w:rsidDel="00000000" w:rsidP="00000000" w:rsidRDefault="00000000" w:rsidRPr="00000000" w14:paraId="0000002A">
            <w:pPr>
              <w:jc w:val="center"/>
              <w:rPr>
                <w:b w:val="1"/>
              </w:rPr>
            </w:pPr>
            <w:r w:rsidDel="00000000" w:rsidR="00000000" w:rsidRPr="00000000">
              <w:rPr>
                <w:b w:val="1"/>
                <w:rtl w:val="0"/>
              </w:rPr>
              <w:t xml:space="preserve">Name</w:t>
            </w:r>
          </w:p>
        </w:tc>
        <w:tc>
          <w:tcPr/>
          <w:p w:rsidR="00000000" w:rsidDel="00000000" w:rsidP="00000000" w:rsidRDefault="00000000" w:rsidRPr="00000000" w14:paraId="0000002B">
            <w:pPr>
              <w:jc w:val="center"/>
              <w:rPr>
                <w:b w:val="1"/>
              </w:rPr>
            </w:pPr>
            <w:r w:rsidDel="00000000" w:rsidR="00000000" w:rsidRPr="00000000">
              <w:rPr>
                <w:b w:val="1"/>
                <w:rtl w:val="0"/>
              </w:rPr>
              <w:t xml:space="preserve">Institution</w:t>
            </w:r>
          </w:p>
        </w:tc>
        <w:tc>
          <w:tcPr/>
          <w:p w:rsidR="00000000" w:rsidDel="00000000" w:rsidP="00000000" w:rsidRDefault="00000000" w:rsidRPr="00000000" w14:paraId="0000002C">
            <w:pPr>
              <w:jc w:val="cente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Martin Morgeneyer</w:t>
            </w:r>
          </w:p>
        </w:tc>
        <w:tc>
          <w:tcPr/>
          <w:p w:rsidR="00000000" w:rsidDel="00000000" w:rsidP="00000000" w:rsidRDefault="00000000" w:rsidRPr="00000000" w14:paraId="0000002E">
            <w:pPr>
              <w:rPr/>
            </w:pPr>
            <w:r w:rsidDel="00000000" w:rsidR="00000000" w:rsidRPr="00000000">
              <w:rPr>
                <w:rtl w:val="0"/>
              </w:rPr>
              <w:t xml:space="preserve">Université de Technologie de Compiègne</w:t>
            </w:r>
          </w:p>
        </w:tc>
        <w:tc>
          <w:tcPr/>
          <w:p w:rsidR="00000000" w:rsidDel="00000000" w:rsidP="00000000" w:rsidRDefault="00000000" w:rsidRPr="00000000" w14:paraId="0000002F">
            <w:pPr>
              <w:rPr/>
            </w:pPr>
            <w:r w:rsidDel="00000000" w:rsidR="00000000" w:rsidRPr="00000000">
              <w:rPr>
                <w:rtl w:val="0"/>
              </w:rPr>
              <w:t xml:space="preserve">martin.morgeneyer@utc.fr</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Nathalie Manowald </w:t>
            </w:r>
          </w:p>
        </w:tc>
        <w:tc>
          <w:tcPr/>
          <w:p w:rsidR="00000000" w:rsidDel="00000000" w:rsidP="00000000" w:rsidRDefault="00000000" w:rsidRPr="00000000" w14:paraId="00000031">
            <w:pPr>
              <w:rPr/>
            </w:pPr>
            <w:r w:rsidDel="00000000" w:rsidR="00000000" w:rsidRPr="00000000">
              <w:rPr>
                <w:rtl w:val="0"/>
              </w:rPr>
              <w:t xml:space="preserve">Cornell University</w:t>
            </w:r>
          </w:p>
        </w:tc>
        <w:tc>
          <w:tcPr/>
          <w:p w:rsidR="00000000" w:rsidDel="00000000" w:rsidP="00000000" w:rsidRDefault="00000000" w:rsidRPr="00000000" w14:paraId="00000032">
            <w:pPr>
              <w:rPr/>
            </w:pPr>
            <w:r w:rsidDel="00000000" w:rsidR="00000000" w:rsidRPr="00000000">
              <w:rPr>
                <w:rtl w:val="0"/>
              </w:rPr>
              <w:t xml:space="preserve">mahowald@cornell.edu</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Max Zhang</w:t>
            </w:r>
          </w:p>
        </w:tc>
        <w:tc>
          <w:tcPr/>
          <w:p w:rsidR="00000000" w:rsidDel="00000000" w:rsidP="00000000" w:rsidRDefault="00000000" w:rsidRPr="00000000" w14:paraId="00000034">
            <w:pPr>
              <w:rPr/>
            </w:pPr>
            <w:r w:rsidDel="00000000" w:rsidR="00000000" w:rsidRPr="00000000">
              <w:rPr>
                <w:rtl w:val="0"/>
              </w:rPr>
              <w:t xml:space="preserve">Cornell University</w:t>
            </w:r>
          </w:p>
        </w:tc>
        <w:tc>
          <w:tcPr/>
          <w:p w:rsidR="00000000" w:rsidDel="00000000" w:rsidP="00000000" w:rsidRDefault="00000000" w:rsidRPr="00000000" w14:paraId="00000035">
            <w:pPr>
              <w:rPr/>
            </w:pPr>
            <w:r w:rsidDel="00000000" w:rsidR="00000000" w:rsidRPr="00000000">
              <w:rPr>
                <w:rtl w:val="0"/>
              </w:rPr>
              <w:t xml:space="preserve">kz33@cornell.edu</w:t>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Mojtaba Ghadiri</w:t>
            </w:r>
          </w:p>
        </w:tc>
        <w:tc>
          <w:tcPr/>
          <w:p w:rsidR="00000000" w:rsidDel="00000000" w:rsidP="00000000" w:rsidRDefault="00000000" w:rsidRPr="00000000" w14:paraId="00000037">
            <w:pPr>
              <w:rPr/>
            </w:pPr>
            <w:r w:rsidDel="00000000" w:rsidR="00000000" w:rsidRPr="00000000">
              <w:rPr>
                <w:rtl w:val="0"/>
              </w:rPr>
              <w:t xml:space="preserve">Leeds University</w:t>
            </w:r>
          </w:p>
        </w:tc>
        <w:tc>
          <w:tcPr/>
          <w:p w:rsidR="00000000" w:rsidDel="00000000" w:rsidP="00000000" w:rsidRDefault="00000000" w:rsidRPr="00000000" w14:paraId="00000038">
            <w:pPr>
              <w:rPr/>
            </w:pPr>
            <w:r w:rsidDel="00000000" w:rsidR="00000000" w:rsidRPr="00000000">
              <w:rPr>
                <w:rtl w:val="0"/>
              </w:rPr>
              <w:t xml:space="preserve">M.Ghadiri@leeds.ac.uk</w:t>
            </w:r>
          </w:p>
        </w:tc>
      </w:tr>
      <w:tr>
        <w:trPr>
          <w:cantSplit w:val="0"/>
          <w:tblHeader w:val="0"/>
        </w:trPr>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tbl>
      <w:tblPr>
        <w:tblStyle w:val="Table3"/>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590"/>
        <w:tblGridChange w:id="0">
          <w:tblGrid>
            <w:gridCol w:w="4315"/>
            <w:gridCol w:w="4590"/>
          </w:tblGrid>
        </w:tblGridChange>
      </w:tblGrid>
      <w:tr>
        <w:trPr>
          <w:cantSplit w:val="0"/>
          <w:tblHeader w:val="0"/>
        </w:trPr>
        <w:tc>
          <w:tcPr>
            <w:gridSpan w:val="2"/>
          </w:tcPr>
          <w:p w:rsidR="00000000" w:rsidDel="00000000" w:rsidP="00000000" w:rsidRDefault="00000000" w:rsidRPr="00000000" w14:paraId="0000003D">
            <w:pPr>
              <w:jc w:val="center"/>
              <w:rPr>
                <w:b w:val="1"/>
              </w:rPr>
            </w:pPr>
            <w:r w:rsidDel="00000000" w:rsidR="00000000" w:rsidRPr="00000000">
              <w:rPr>
                <w:b w:val="1"/>
                <w:rtl w:val="0"/>
              </w:rPr>
              <w:t xml:space="preserve">Submitted By:</w:t>
            </w:r>
          </w:p>
        </w:tc>
      </w:tr>
      <w:tr>
        <w:trPr>
          <w:cantSplit w:val="0"/>
          <w:tblHeader w:val="0"/>
        </w:trPr>
        <w:tc>
          <w:tcPr/>
          <w:p w:rsidR="00000000" w:rsidDel="00000000" w:rsidP="00000000" w:rsidRDefault="00000000" w:rsidRPr="00000000" w14:paraId="0000003F">
            <w:pPr>
              <w:jc w:val="center"/>
              <w:rPr>
                <w:b w:val="1"/>
              </w:rPr>
            </w:pPr>
            <w:r w:rsidDel="00000000" w:rsidR="00000000" w:rsidRPr="00000000">
              <w:rPr>
                <w:b w:val="1"/>
                <w:rtl w:val="0"/>
              </w:rPr>
              <w:t xml:space="preserve">Name</w:t>
            </w:r>
          </w:p>
        </w:tc>
        <w:tc>
          <w:tcPr/>
          <w:p w:rsidR="00000000" w:rsidDel="00000000" w:rsidP="00000000" w:rsidRDefault="00000000" w:rsidRPr="00000000" w14:paraId="00000040">
            <w:pPr>
              <w:jc w:val="center"/>
              <w:rPr>
                <w:b w:val="1"/>
              </w:rPr>
            </w:pPr>
            <w:r w:rsidDel="00000000" w:rsidR="00000000" w:rsidRPr="00000000">
              <w:rPr>
                <w:b w:val="1"/>
                <w:rtl w:val="0"/>
              </w:rPr>
              <w:t xml:space="preserve">Organization</w:t>
            </w:r>
          </w:p>
        </w:tc>
      </w:tr>
      <w:tr>
        <w:trPr>
          <w:cantSplit w:val="0"/>
          <w:tblHeader w:val="0"/>
        </w:trPr>
        <w:tc>
          <w:tcPr/>
          <w:p w:rsidR="00000000" w:rsidDel="00000000" w:rsidP="00000000" w:rsidRDefault="00000000" w:rsidRPr="00000000" w14:paraId="00000041">
            <w:pPr>
              <w:rPr/>
            </w:pPr>
            <w:r w:rsidDel="00000000" w:rsidR="00000000" w:rsidRPr="00000000">
              <w:rPr>
                <w:rtl w:val="0"/>
              </w:rPr>
              <w:t xml:space="preserve">Edouard Izard</w:t>
            </w:r>
          </w:p>
        </w:tc>
        <w:tc>
          <w:tcPr/>
          <w:p w:rsidR="00000000" w:rsidDel="00000000" w:rsidP="00000000" w:rsidRDefault="00000000" w:rsidRPr="00000000" w14:paraId="00000042">
            <w:pPr>
              <w:rPr/>
            </w:pPr>
            <w:r w:rsidDel="00000000" w:rsidR="00000000" w:rsidRPr="00000000">
              <w:rPr>
                <w:rtl w:val="0"/>
              </w:rPr>
              <w:t xml:space="preserve">ArcelorMittal</w:t>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Simon Greener</w:t>
            </w:r>
          </w:p>
        </w:tc>
        <w:tc>
          <w:tcPr/>
          <w:p w:rsidR="00000000" w:rsidDel="00000000" w:rsidP="00000000" w:rsidRDefault="00000000" w:rsidRPr="00000000" w14:paraId="00000044">
            <w:pPr>
              <w:rPr/>
            </w:pPr>
            <w:r w:rsidDel="00000000" w:rsidR="00000000" w:rsidRPr="00000000">
              <w:rPr>
                <w:rtl w:val="0"/>
              </w:rPr>
              <w:t xml:space="preserve">P&amp;G</w:t>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Isabelle Deleris</w:t>
            </w:r>
          </w:p>
        </w:tc>
        <w:tc>
          <w:tcPr/>
          <w:p w:rsidR="00000000" w:rsidDel="00000000" w:rsidP="00000000" w:rsidRDefault="00000000" w:rsidRPr="00000000" w14:paraId="00000046">
            <w:pPr>
              <w:rPr/>
            </w:pPr>
            <w:r w:rsidDel="00000000" w:rsidR="00000000" w:rsidRPr="00000000">
              <w:rPr>
                <w:rtl w:val="0"/>
              </w:rPr>
              <w:t xml:space="preserve">Cargill</w:t>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Martijn van der Hoeven </w:t>
            </w:r>
          </w:p>
        </w:tc>
        <w:tc>
          <w:tcPr/>
          <w:p w:rsidR="00000000" w:rsidDel="00000000" w:rsidP="00000000" w:rsidRDefault="00000000" w:rsidRPr="00000000" w14:paraId="00000048">
            <w:pPr>
              <w:rPr/>
            </w:pPr>
            <w:r w:rsidDel="00000000" w:rsidR="00000000" w:rsidRPr="00000000">
              <w:rPr>
                <w:rtl w:val="0"/>
              </w:rPr>
              <w:t xml:space="preserve">Danone</w:t>
            </w:r>
          </w:p>
        </w:tc>
      </w:tr>
      <w:tr>
        <w:trPr>
          <w:cantSplit w:val="0"/>
          <w:tblHeader w:val="0"/>
        </w:trPr>
        <w:tc>
          <w:tcPr/>
          <w:p w:rsidR="00000000" w:rsidDel="00000000" w:rsidP="00000000" w:rsidRDefault="00000000" w:rsidRPr="00000000" w14:paraId="00000049">
            <w:pPr>
              <w:rPr/>
            </w:pPr>
            <w:r w:rsidDel="00000000" w:rsidR="00000000" w:rsidRPr="00000000">
              <w:rPr>
                <w:rtl w:val="0"/>
              </w:rPr>
              <w:t xml:space="preserve">Jarrod Hart</w:t>
            </w:r>
          </w:p>
        </w:tc>
        <w:tc>
          <w:tcPr/>
          <w:p w:rsidR="00000000" w:rsidDel="00000000" w:rsidP="00000000" w:rsidRDefault="00000000" w:rsidRPr="00000000" w14:paraId="0000004A">
            <w:pPr>
              <w:rPr/>
            </w:pPr>
            <w:r w:rsidDel="00000000" w:rsidR="00000000" w:rsidRPr="00000000">
              <w:rPr>
                <w:rtl w:val="0"/>
              </w:rPr>
              <w:t xml:space="preserve">Immerys</w:t>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Alexander Findeisen</w:t>
            </w:r>
          </w:p>
        </w:tc>
        <w:tc>
          <w:tcPr/>
          <w:p w:rsidR="00000000" w:rsidDel="00000000" w:rsidP="00000000" w:rsidRDefault="00000000" w:rsidRPr="00000000" w14:paraId="0000004C">
            <w:pPr>
              <w:rPr/>
            </w:pPr>
            <w:r w:rsidDel="00000000" w:rsidR="00000000" w:rsidRPr="00000000">
              <w:rPr>
                <w:rtl w:val="0"/>
              </w:rPr>
              <w:t xml:space="preserve">Novoneis</w:t>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Comments: </w:t>
      </w:r>
    </w:p>
    <w:p w:rsidR="00000000" w:rsidDel="00000000" w:rsidP="00000000" w:rsidRDefault="00000000" w:rsidRPr="00000000" w14:paraId="00000050">
      <w:pPr>
        <w:rPr/>
      </w:pPr>
      <w:r w:rsidDel="00000000" w:rsidR="00000000" w:rsidRPr="00000000">
        <w:rPr>
          <w:rtl w:val="0"/>
        </w:rPr>
        <w:t xml:space="preserve">Geotechnical knowledge translated into applicable industrial perspectives might be a good opportunity. </w:t>
      </w:r>
    </w:p>
    <w:p w:rsidR="00000000" w:rsidDel="00000000" w:rsidP="00000000" w:rsidRDefault="00000000" w:rsidRPr="00000000" w14:paraId="00000051">
      <w:pPr>
        <w:rPr/>
      </w:pPr>
      <w:r w:rsidDel="00000000" w:rsidR="00000000" w:rsidRPr="00000000">
        <w:rPr>
          <w:rtl w:val="0"/>
        </w:rPr>
      </w:r>
    </w:p>
    <w:sectPr>
      <w:headerReference r:id="rId8" w:type="default"/>
      <w:headerReference r:id="rId9" w:type="first"/>
      <w:footerReference r:id="rId10" w:type="defaul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tabs>
        <w:tab w:val="left" w:leader="none" w:pos="3480"/>
        <w:tab w:val="left" w:leader="none" w:pos="3645"/>
      </w:tabs>
      <w:rPr/>
    </w:pPr>
    <w:r w:rsidDel="00000000" w:rsidR="00000000" w:rsidRPr="00000000">
      <w:rPr>
        <w:rtl w:val="0"/>
      </w:rPr>
      <w:tab/>
      <w:t xml:space="preserve">Template v.1.0 - RB</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Title used in meeting agendas and file archives</w:t>
      </w:r>
    </w:p>
  </w:footnote>
  <w:footnote w:id="1">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One or more from the following list:  W = wet systems; D = dry systems; F = particle formation; SR = size reduction; M = modeling; SE = systems engineering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jc w:val="center"/>
      <w:rPr>
        <w:b w:val="1"/>
        <w:smallCaps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jc w:val="center"/>
      <w:rPr>
        <w:b w:val="1"/>
        <w:smallCaps w:val="1"/>
        <w:sz w:val="28"/>
        <w:szCs w:val="28"/>
      </w:rPr>
    </w:pPr>
    <w:r w:rsidDel="00000000" w:rsidR="00000000" w:rsidRPr="00000000">
      <w:rPr>
        <w:b w:val="1"/>
        <w:smallCaps w:val="1"/>
        <w:sz w:val="28"/>
        <w:szCs w:val="28"/>
      </w:rPr>
      <w:drawing>
        <wp:inline distB="0" distT="0" distL="0" distR="0">
          <wp:extent cx="1620476" cy="684827"/>
          <wp:effectExtent b="0" l="0" r="0" t="0"/>
          <wp:docPr descr="C:\Users\Home\Google Drive\IFPRI\Logos\newlogov1.jpg" id="3" name="image1.jpg"/>
          <a:graphic>
            <a:graphicData uri="http://schemas.openxmlformats.org/drawingml/2006/picture">
              <pic:pic>
                <pic:nvPicPr>
                  <pic:cNvPr descr="C:\Users\Home\Google Drive\IFPRI\Logos\newlogov1.jpg" id="0" name="image1.jpg"/>
                  <pic:cNvPicPr preferRelativeResize="0"/>
                </pic:nvPicPr>
                <pic:blipFill>
                  <a:blip r:embed="rId1"/>
                  <a:srcRect b="0" l="0" r="0" t="0"/>
                  <a:stretch>
                    <a:fillRect/>
                  </a:stretch>
                </pic:blipFill>
                <pic:spPr>
                  <a:xfrm>
                    <a:off x="0" y="0"/>
                    <a:ext cx="1620476" cy="684827"/>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jc w:val="center"/>
      <w:rPr>
        <w:b w:val="1"/>
        <w:smallCaps w:val="1"/>
        <w:sz w:val="28"/>
        <w:szCs w:val="28"/>
      </w:rPr>
    </w:pPr>
    <w:r w:rsidDel="00000000" w:rsidR="00000000" w:rsidRPr="00000000">
      <w:rPr>
        <w:b w:val="1"/>
        <w:smallCaps w:val="1"/>
        <w:sz w:val="28"/>
        <w:szCs w:val="28"/>
        <w:rtl w:val="0"/>
      </w:rPr>
      <w:t xml:space="preserve">IFPRI  Brief Template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ko-K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En-tteCar" w:customStyle="1">
    <w:name w:val="En-tête Car"/>
    <w:basedOn w:val="Policepardfaut"/>
    <w:link w:val="En-tte"/>
    <w:uiPriority w:val="99"/>
    <w:rsid w:val="00854B50"/>
    <w:rPr>
      <w:sz w:val="24"/>
      <w:szCs w:val="24"/>
      <w:lang w:eastAsia="ko-KR"/>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pPr>
      <w:tabs>
        <w:tab w:val="center" w:pos="4320"/>
        <w:tab w:val="right" w:pos="8640"/>
      </w:tabs>
    </w:pPr>
  </w:style>
  <w:style w:type="paragraph" w:styleId="Notedebasdepage">
    <w:name w:val="footnote text"/>
    <w:basedOn w:val="Normal"/>
    <w:link w:val="NotedebasdepageCar"/>
    <w:rsid w:val="000E4F36"/>
    <w:rPr>
      <w:sz w:val="20"/>
      <w:szCs w:val="20"/>
    </w:rPr>
  </w:style>
  <w:style w:type="character" w:styleId="NotedebasdepageCar" w:customStyle="1">
    <w:name w:val="Note de bas de page Car"/>
    <w:basedOn w:val="Policepardfaut"/>
    <w:link w:val="Notedebasdepage"/>
    <w:rsid w:val="000E4F36"/>
    <w:rPr>
      <w:lang w:eastAsia="ko-KR"/>
    </w:rPr>
  </w:style>
  <w:style w:type="character" w:styleId="Appelnotedebasdep">
    <w:name w:val="footnote reference"/>
    <w:basedOn w:val="Policepardfaut"/>
    <w:rsid w:val="000E4F36"/>
    <w:rPr>
      <w:vertAlign w:val="superscript"/>
    </w:rPr>
  </w:style>
  <w:style w:type="table" w:styleId="Grilledutableau">
    <w:name w:val="Table Grid"/>
    <w:basedOn w:val="TableauNormal"/>
    <w:rsid w:val="001D3F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basedOn w:val="Policepardfaut"/>
    <w:rsid w:val="00CA00DF"/>
    <w:rPr>
      <w:color w:val="0563c1" w:themeColor="hyperlink"/>
      <w:u w:val="single"/>
    </w:rPr>
  </w:style>
  <w:style w:type="character" w:styleId="Mentionnonrsolue">
    <w:name w:val="Unresolved Mention"/>
    <w:basedOn w:val="Policepardfaut"/>
    <w:uiPriority w:val="99"/>
    <w:semiHidden w:val="1"/>
    <w:unhideWhenUsed w:val="1"/>
    <w:rsid w:val="00CA00DF"/>
    <w:rPr>
      <w:color w:val="605e5c"/>
      <w:shd w:color="auto" w:fill="e1dfdd" w:val="clear"/>
    </w:rPr>
  </w:style>
  <w:style w:type="paragraph" w:styleId="Paragraphedeliste">
    <w:name w:val="List Paragraph"/>
    <w:basedOn w:val="Normal"/>
    <w:uiPriority w:val="34"/>
    <w:qFormat w:val="1"/>
    <w:rsid w:val="00692B92"/>
    <w:pPr>
      <w:ind w:left="720"/>
      <w:contextualSpacing w:val="1"/>
    </w:pPr>
  </w:style>
  <w:style w:type="paragraph" w:styleId="Rvision">
    <w:name w:val="Revision"/>
    <w:hidden w:val="1"/>
    <w:uiPriority w:val="99"/>
    <w:semiHidden w:val="1"/>
    <w:rsid w:val="00DB24C6"/>
    <w:rPr>
      <w:sz w:val="24"/>
      <w:szCs w:val="24"/>
      <w:lang w:eastAsia="ko-KR"/>
    </w:rPr>
  </w:style>
  <w:style w:type="character" w:styleId="Marquedecommentaire">
    <w:name w:val="annotation reference"/>
    <w:basedOn w:val="Policepardfaut"/>
    <w:rsid w:val="00851EFB"/>
    <w:rPr>
      <w:sz w:val="16"/>
      <w:szCs w:val="16"/>
    </w:rPr>
  </w:style>
  <w:style w:type="paragraph" w:styleId="Commentaire">
    <w:name w:val="annotation text"/>
    <w:basedOn w:val="Normal"/>
    <w:link w:val="CommentaireCar"/>
    <w:rsid w:val="00851EFB"/>
    <w:rPr>
      <w:sz w:val="20"/>
      <w:szCs w:val="20"/>
    </w:rPr>
  </w:style>
  <w:style w:type="character" w:styleId="CommentaireCar" w:customStyle="1">
    <w:name w:val="Commentaire Car"/>
    <w:basedOn w:val="Policepardfaut"/>
    <w:link w:val="Commentaire"/>
    <w:rsid w:val="00851EFB"/>
    <w:rPr>
      <w:lang w:eastAsia="ko-KR"/>
    </w:rPr>
  </w:style>
  <w:style w:type="paragraph" w:styleId="Objetducommentaire">
    <w:name w:val="annotation subject"/>
    <w:basedOn w:val="Commentaire"/>
    <w:next w:val="Commentaire"/>
    <w:link w:val="ObjetducommentaireCar"/>
    <w:semiHidden w:val="1"/>
    <w:unhideWhenUsed w:val="1"/>
    <w:rsid w:val="00851EFB"/>
    <w:rPr>
      <w:b w:val="1"/>
      <w:bCs w:val="1"/>
    </w:rPr>
  </w:style>
  <w:style w:type="character" w:styleId="ObjetducommentaireCar" w:customStyle="1">
    <w:name w:val="Objet du commentaire Car"/>
    <w:basedOn w:val="CommentaireCar"/>
    <w:link w:val="Objetducommentaire"/>
    <w:semiHidden w:val="1"/>
    <w:rsid w:val="00851EFB"/>
    <w:rPr>
      <w:b w:val="1"/>
      <w:bCs w:val="1"/>
      <w:lang w:eastAsia="ko-K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7WSFfoqXO7/iJQSxB4LaKp2THw==">CgMxLjA4AHIhMXBKQ01kYlJpbjZmcllnV2h1ejJNSHJJcERpdVgzd2k1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2025-06-17T21:23:00Z</dcterms:created>
  <dc:creator>Boerefijn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7606f69-b0ae-4874-be30-7d43a3c7be10_Enabled">
    <vt:lpwstr>true</vt:lpwstr>
  </property>
  <property fmtid="{D5CDD505-2E9C-101B-9397-08002B2CF9AE}" pid="4" name="MSIP_Label_f7606f69-b0ae-4874-be30-7d43a3c7be10_SetDate">
    <vt:lpwstr>2025-06-16T12:21:37Z</vt:lpwstr>
  </property>
  <property fmtid="{D5CDD505-2E9C-101B-9397-08002B2CF9AE}" pid="5" name="MSIP_Label_f7606f69-b0ae-4874-be30-7d43a3c7be10_Method">
    <vt:lpwstr>Standard</vt:lpwstr>
  </property>
  <property fmtid="{D5CDD505-2E9C-101B-9397-08002B2CF9AE}" pid="6" name="MSIP_Label_f7606f69-b0ae-4874-be30-7d43a3c7be10_Name">
    <vt:lpwstr>defa4170-0d19-0005-0001-bc88714345d2</vt:lpwstr>
  </property>
  <property fmtid="{D5CDD505-2E9C-101B-9397-08002B2CF9AE}" pid="7" name="MSIP_Label_f7606f69-b0ae-4874-be30-7d43a3c7be10_SiteId">
    <vt:lpwstr>4130bd39-7c53-419c-b1e5-8758d6d63f21</vt:lpwstr>
  </property>
  <property fmtid="{D5CDD505-2E9C-101B-9397-08002B2CF9AE}" pid="8" name="MSIP_Label_f7606f69-b0ae-4874-be30-7d43a3c7be10_ActionId">
    <vt:lpwstr>76887d44-30e4-436b-8fde-2ad8e9ce1053</vt:lpwstr>
  </property>
  <property fmtid="{D5CDD505-2E9C-101B-9397-08002B2CF9AE}" pid="9" name="MSIP_Label_f7606f69-b0ae-4874-be30-7d43a3c7be10_ContentBits">
    <vt:lpwstr>0</vt:lpwstr>
  </property>
  <property fmtid="{D5CDD505-2E9C-101B-9397-08002B2CF9AE}" pid="10" name="ContentTypeId">
    <vt:lpwstr>0x010100ECCBE717ACAF4846920E6C5605E74DB7</vt:lpwstr>
  </property>
</Properties>
</file>