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180"/>
        <w:rPr>
          <w:b w:val="1"/>
        </w:rPr>
      </w:pPr>
      <w:r w:rsidDel="00000000" w:rsidR="00000000" w:rsidRPr="00000000">
        <w:rPr>
          <w:b w:val="1"/>
          <w:rtl w:val="0"/>
        </w:rPr>
        <w:t xml:space="preserve">Check One:    </w:t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b w:val="1"/>
          <w:rtl w:val="0"/>
        </w:rPr>
        <w:t xml:space="preserve">Project</w:t>
        <w:tab/>
        <w:tab/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☒</w:t>
      </w:r>
      <w:r w:rsidDel="00000000" w:rsidR="00000000" w:rsidRPr="00000000">
        <w:rPr>
          <w:b w:val="1"/>
          <w:rtl w:val="0"/>
        </w:rPr>
        <w:t xml:space="preserve">Review</w:t>
        <w:tab/>
        <w:tab/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b w:val="1"/>
          <w:rtl w:val="0"/>
        </w:rPr>
        <w:t xml:space="preserve">Collaboration</w:t>
      </w:r>
    </w:p>
    <w:p w:rsidR="00000000" w:rsidDel="00000000" w:rsidP="00000000" w:rsidRDefault="00000000" w:rsidRPr="00000000" w14:paraId="00000003">
      <w:pPr>
        <w:ind w:right="-18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b w:val="1"/>
          <w:rtl w:val="0"/>
        </w:rPr>
        <w:t xml:space="preserve">Workshop</w:t>
        <w:tab/>
        <w:tab/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b w:val="1"/>
          <w:rtl w:val="0"/>
        </w:rPr>
        <w:t xml:space="preserve">Other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65"/>
        <w:gridCol w:w="6840"/>
        <w:tblGridChange w:id="0">
          <w:tblGrid>
            <w:gridCol w:w="2065"/>
            <w:gridCol w:w="68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Descriptive Title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Powder Sampling Equipment Review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Working Title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Powder Sampling Equipment Review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Technical Area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Characterization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June 16,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Short Description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IFPRI recently completed a review of in-line and on-line analytical instrumentation (2017, but did not include a review of on-line (extractive) sampling equipment and associated sampling systems. We would like a review done to identify the modern equipment, applications, range of suitability, and vendors that provide sampling equipment that is designed for use in powder processing industries.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Objectives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Review and provide examples of on-line sample system equipment and applications used across industrial powder processing applications.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examples of equipment, model numbers, and vendors, along with descriptions of their design and indented use.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Identify the functions of the equipment (i.e. pumps, agitators, vacuums, rotating sample probes, etc), and applications when they are suitable.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When appropriate, provide insight and context when certain equipment designs should not be used and why.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Scope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In scope: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Equipment and applications used to extract: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Dry powders, powder/liquid suspensions, and/or mixtures of powders/liquids while they are being processed or transported in production settings.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Samples for on-line analysis of powders or suspensions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Samples to be collected </w:t>
            </w:r>
            <w:r w:rsidDel="00000000" w:rsidR="00000000" w:rsidRPr="00000000">
              <w:rPr>
                <w:rtl w:val="0"/>
              </w:rPr>
              <w:t xml:space="preserve">in a container and sent to QC labs for off-line analysis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If rotating containers are available (for time point collection), please review the options available.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Free flowing powders (&gt;200 microns) or cohesive powders (0-200 micron diameter)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Additional insight we’d like on the equipment reviewed: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Temperature, pressure, and viscosity ranges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Designs to mitigate cross contamination (i.e. self-cleaning capabilities)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 Scale (pilot vs commercial systems)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Ability to integrate/control equipment with production plant controls and automation. 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Out of scope: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Analytical Instrumentation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68"/>
        <w:gridCol w:w="2968"/>
        <w:gridCol w:w="2969"/>
        <w:tblGridChange w:id="0">
          <w:tblGrid>
            <w:gridCol w:w="2968"/>
            <w:gridCol w:w="2968"/>
            <w:gridCol w:w="2969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Recommended Contractors (2 or 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Institution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1738"/>
              </w:tabs>
              <w:ind w:firstLine="720"/>
              <w:jc w:val="center"/>
              <w:rPr/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Kim Esbensen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KHE Consulting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1"/>
                <w:szCs w:val="21"/>
                <w:highlight w:val="white"/>
                <w:rtl w:val="0"/>
              </w:rPr>
              <w:t xml:space="preserve">khe.consult@gmail.com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David Scott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Advanced Particle Sensors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david.scott@particlesci.com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590"/>
        <w:tblGridChange w:id="0">
          <w:tblGrid>
            <w:gridCol w:w="4315"/>
            <w:gridCol w:w="459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Submitted By: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Pete Bergstrom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Sila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Brittany DeWind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Keurig Dr Pepper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Ladislav Konopka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Envalior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Daniel Fawcett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Lincoln Electric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feedback: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simon- integrating optical sensors with sampling systems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the rotating/incremental sampling non specific to rotating sampler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include “at line” measurements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5840" w:w="12240" w:orient="portrait"/>
      <w:pgMar w:bottom="144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tabs>
        <w:tab w:val="left" w:leader="none" w:pos="3480"/>
        <w:tab w:val="left" w:leader="none" w:pos="3645"/>
      </w:tabs>
      <w:rPr/>
    </w:pPr>
    <w:r w:rsidDel="00000000" w:rsidR="00000000" w:rsidRPr="00000000">
      <w:rPr>
        <w:rtl w:val="0"/>
      </w:rPr>
      <w:tab/>
      <w:t xml:space="preserve">Template v.1.0 - RB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Title used in meeting agendas and file archives</w:t>
      </w:r>
    </w:p>
  </w:footnote>
  <w:footnote w:id="1"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One or more from the following list:  W = wet systems; D = dry systems; F = particle formation; SR = size reduction; M = modeling; SE = systems engineering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jc w:val="center"/>
      <w:rPr>
        <w:b w:val="1"/>
        <w:smallCaps w:val="1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jc w:val="center"/>
      <w:rPr>
        <w:b w:val="1"/>
        <w:smallCaps w:val="1"/>
        <w:sz w:val="28"/>
        <w:szCs w:val="28"/>
      </w:rPr>
    </w:pPr>
    <w:r w:rsidDel="00000000" w:rsidR="00000000" w:rsidRPr="00000000">
      <w:rPr>
        <w:b w:val="1"/>
        <w:smallCaps w:val="1"/>
        <w:sz w:val="28"/>
        <w:szCs w:val="28"/>
      </w:rPr>
      <w:drawing>
        <wp:inline distB="0" distT="0" distL="0" distR="0">
          <wp:extent cx="1620476" cy="684827"/>
          <wp:effectExtent b="0" l="0" r="0" t="0"/>
          <wp:docPr descr="C:\Users\Home\Google Drive\IFPRI\Logos\newlogov1.jpg" id="3" name="image1.jpg"/>
          <a:graphic>
            <a:graphicData uri="http://schemas.openxmlformats.org/drawingml/2006/picture">
              <pic:pic>
                <pic:nvPicPr>
                  <pic:cNvPr descr="C:\Users\Home\Google Drive\IFPRI\Logos\newlogov1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0476" cy="6848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jc w:val="center"/>
      <w:rPr>
        <w:b w:val="1"/>
        <w:smallCaps w:val="1"/>
        <w:sz w:val="28"/>
        <w:szCs w:val="28"/>
      </w:rPr>
    </w:pPr>
    <w:r w:rsidDel="00000000" w:rsidR="00000000" w:rsidRPr="00000000">
      <w:rPr>
        <w:b w:val="1"/>
        <w:smallCaps w:val="1"/>
        <w:sz w:val="28"/>
        <w:szCs w:val="28"/>
        <w:rtl w:val="0"/>
      </w:rPr>
      <w:t xml:space="preserve">IFPRI  Brief Template</w: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ko-K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erChar" w:customStyle="1">
    <w:name w:val="Header Char"/>
    <w:basedOn w:val="DefaultParagraphFont"/>
    <w:link w:val="Header"/>
    <w:uiPriority w:val="99"/>
    <w:rsid w:val="00854B50"/>
    <w:rPr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0E4F3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0E4F36"/>
    <w:rPr>
      <w:lang w:eastAsia="ko-KR"/>
    </w:rPr>
  </w:style>
  <w:style w:type="character" w:styleId="FootnoteReference">
    <w:name w:val="footnote reference"/>
    <w:basedOn w:val="DefaultParagraphFont"/>
    <w:rsid w:val="000E4F36"/>
    <w:rPr>
      <w:vertAlign w:val="superscript"/>
    </w:rPr>
  </w:style>
  <w:style w:type="table" w:styleId="TableGrid">
    <w:name w:val="Table Grid"/>
    <w:basedOn w:val="TableNormal"/>
    <w:rsid w:val="001D3FB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06FC9"/>
    <w:pPr>
      <w:ind w:left="720"/>
      <w:contextualSpacing w:val="1"/>
    </w:pPr>
  </w:style>
  <w:style w:type="character" w:styleId="Hyperlink">
    <w:name w:val="Hyperlink"/>
    <w:basedOn w:val="DefaultParagraphFont"/>
    <w:rsid w:val="007331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331F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BCO6cFNscd8Y91/vKnLZhvhBxg==">CgMxLjA4AHIhMW1qMXRoRGxxcDh4VDRjYVJvZjY4T1dZSHlqTkFqSXpq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2025-06-17T15:57:00Z</dcterms:created>
  <dc:creator>Boerefijn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