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4CB" w14:textId="10037DCE" w:rsidR="00854B50" w:rsidRDefault="00854B50"/>
    <w:p w14:paraId="3B6A7B1B" w14:textId="0F5625C3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F7E86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347B31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75BEE7F7" w:rsidR="001D3FB6" w:rsidRDefault="00AD6A4F" w:rsidP="005F5F65">
            <w:r>
              <w:t>S</w:t>
            </w:r>
            <w:r w:rsidR="00485128">
              <w:t xml:space="preserve">imulation Methods </w:t>
            </w:r>
            <w:r w:rsidR="002F7E86">
              <w:t>for Colloidal Dispersions</w:t>
            </w:r>
          </w:p>
        </w:tc>
      </w:tr>
      <w:tr w:rsidR="001D3FB6" w14:paraId="5FB32EC1" w14:textId="77777777" w:rsidTr="00347B31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1B71D973" w:rsidR="001D3FB6" w:rsidRDefault="00485128" w:rsidP="005F5F65">
            <w:r>
              <w:t>Simulation Methods for</w:t>
            </w:r>
            <w:r w:rsidR="007021D1">
              <w:t xml:space="preserve"> Colloidal Dispersions</w:t>
            </w:r>
          </w:p>
        </w:tc>
      </w:tr>
      <w:tr w:rsidR="001D3FB6" w14:paraId="49744218" w14:textId="77777777" w:rsidTr="00347B31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13061EF4" w:rsidR="001D3FB6" w:rsidRDefault="002F7E86" w:rsidP="005F5F65">
            <w:r>
              <w:t>W</w:t>
            </w:r>
          </w:p>
        </w:tc>
      </w:tr>
      <w:tr w:rsidR="001D3FB6" w14:paraId="743EC9EA" w14:textId="77777777" w:rsidTr="00347B31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7CA77049" w:rsidR="001D3FB6" w:rsidRDefault="002F7E86" w:rsidP="005F5F65">
            <w:r>
              <w:t>17 June 2025</w:t>
            </w:r>
          </w:p>
        </w:tc>
      </w:tr>
      <w:tr w:rsidR="001D3FB6" w14:paraId="415F26C3" w14:textId="77777777" w:rsidTr="00347B31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55A2E00B" w:rsidR="001D3FB6" w:rsidRDefault="007021D1" w:rsidP="005F5F65">
            <w:r>
              <w:t>H</w:t>
            </w:r>
            <w:r w:rsidR="002F7E86">
              <w:t xml:space="preserve">ydrodynamic interactions between dispersed particles </w:t>
            </w:r>
            <w:r>
              <w:t>are</w:t>
            </w:r>
            <w:r w:rsidR="002F7E86">
              <w:t xml:space="preserve"> important </w:t>
            </w:r>
            <w:r w:rsidR="00485128">
              <w:t>in</w:t>
            </w:r>
            <w:r w:rsidR="002F7E86">
              <w:t xml:space="preserve"> processes such as reconstitution, mixing, and gelation. Multiple methods </w:t>
            </w:r>
            <w:r>
              <w:t xml:space="preserve">for </w:t>
            </w:r>
            <w:r w:rsidR="00D831CF">
              <w:t>simulating</w:t>
            </w:r>
            <w:r>
              <w:t xml:space="preserve"> hydrodynamic interactions are being </w:t>
            </w:r>
            <w:r w:rsidR="002F7E86">
              <w:t xml:space="preserve">used in IFPRI-funded work, but there is lack of </w:t>
            </w:r>
            <w:r w:rsidR="00485128">
              <w:t>guidance</w:t>
            </w:r>
            <w:r>
              <w:t xml:space="preserve"> </w:t>
            </w:r>
            <w:r w:rsidR="00191A36">
              <w:t xml:space="preserve">about how </w:t>
            </w:r>
            <w:r>
              <w:t>to select between them</w:t>
            </w:r>
            <w:r w:rsidR="00D831CF">
              <w:t xml:space="preserve"> for different systems</w:t>
            </w:r>
            <w:r w:rsidR="002F7E86">
              <w:t xml:space="preserve">. </w:t>
            </w:r>
            <w:r>
              <w:t xml:space="preserve">This review will compare </w:t>
            </w:r>
            <w:r w:rsidR="00485128">
              <w:t xml:space="preserve">the </w:t>
            </w:r>
            <w:r>
              <w:t>accuracy and computational efficiency of methods for simulatin</w:t>
            </w:r>
            <w:r w:rsidR="00485128">
              <w:t>g</w:t>
            </w:r>
            <w:r>
              <w:t xml:space="preserve"> hydrodynamic interactions</w:t>
            </w:r>
            <w:r w:rsidR="00485128">
              <w:t xml:space="preserve">, including Rotne–Prager–Yamakawa far-field hydrodynamics, lubrication dynamics, </w:t>
            </w:r>
            <w:proofErr w:type="spellStart"/>
            <w:r w:rsidR="00485128">
              <w:t>Stokesian</w:t>
            </w:r>
            <w:proofErr w:type="spellEnd"/>
            <w:r w:rsidR="00485128">
              <w:t xml:space="preserve"> dynamics, and multiparticle collision dynamics</w:t>
            </w:r>
            <w:r w:rsidR="00D831CF">
              <w:t>, for a representative set of colloidal dispersions</w:t>
            </w:r>
            <w:r w:rsidR="00485128">
              <w:t xml:space="preserve">. </w:t>
            </w:r>
            <w:r w:rsidR="00D831CF">
              <w:t>It</w:t>
            </w:r>
            <w:r w:rsidR="002F7E86">
              <w:t xml:space="preserve"> complement</w:t>
            </w:r>
            <w:r w:rsidR="00485128">
              <w:t xml:space="preserve">s </w:t>
            </w:r>
            <w:r w:rsidR="00D831CF">
              <w:t>a review</w:t>
            </w:r>
            <w:r w:rsidR="00485128">
              <w:t xml:space="preserve"> previously conducted </w:t>
            </w:r>
            <w:r>
              <w:t xml:space="preserve">for </w:t>
            </w:r>
            <w:r w:rsidR="002F7E86">
              <w:t>dry systems.</w:t>
            </w:r>
          </w:p>
        </w:tc>
      </w:tr>
      <w:tr w:rsidR="001D3FB6" w14:paraId="1E353A3B" w14:textId="77777777" w:rsidTr="00347B31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565F2438" w14:textId="48409D0E" w:rsidR="002F7E86" w:rsidRDefault="002F7E86" w:rsidP="00485128">
            <w:pPr>
              <w:pStyle w:val="ListParagraph"/>
              <w:numPr>
                <w:ilvl w:val="0"/>
                <w:numId w:val="6"/>
              </w:numPr>
            </w:pPr>
            <w:r>
              <w:t>Identify</w:t>
            </w:r>
            <w:r w:rsidR="007021D1">
              <w:t xml:space="preserve"> </w:t>
            </w:r>
            <w:r w:rsidR="00485128">
              <w:t>a set of colloidal dispersions with interactions, concentrations, and microstructures that are representative of IFPRI-relevant work.</w:t>
            </w:r>
          </w:p>
          <w:p w14:paraId="3F2EA2E2" w14:textId="3FAD81B9" w:rsidR="00485128" w:rsidRDefault="00485128" w:rsidP="00485128">
            <w:pPr>
              <w:pStyle w:val="ListParagraph"/>
              <w:numPr>
                <w:ilvl w:val="0"/>
                <w:numId w:val="6"/>
              </w:numPr>
            </w:pPr>
            <w:r>
              <w:t>Identify processes that can be simulated</w:t>
            </w:r>
            <w:r w:rsidR="00DF3E69">
              <w:t xml:space="preserve"> and properties that can be measured</w:t>
            </w:r>
            <w:r>
              <w:t xml:space="preserve"> for </w:t>
            </w:r>
            <w:r w:rsidR="00222EF1">
              <w:t>the selected</w:t>
            </w:r>
            <w:r>
              <w:t xml:space="preserve"> dispersions using </w:t>
            </w:r>
            <w:r w:rsidR="00222EF1">
              <w:t>all methods.</w:t>
            </w:r>
          </w:p>
          <w:p w14:paraId="6A38C600" w14:textId="77777777" w:rsidR="00485128" w:rsidRDefault="00485128" w:rsidP="00485128">
            <w:pPr>
              <w:pStyle w:val="ListParagraph"/>
              <w:numPr>
                <w:ilvl w:val="0"/>
                <w:numId w:val="6"/>
              </w:numPr>
            </w:pPr>
            <w:r>
              <w:t>Compare accuracy of methods</w:t>
            </w:r>
            <w:r w:rsidR="00222EF1">
              <w:t xml:space="preserve"> for</w:t>
            </w:r>
            <w:r w:rsidR="00DF3E69">
              <w:t xml:space="preserve"> simulating hydrodynamic interactions in</w:t>
            </w:r>
            <w:r w:rsidR="00222EF1">
              <w:t xml:space="preserve"> selected colloidal dispersions and properties</w:t>
            </w:r>
            <w:r>
              <w:t>.</w:t>
            </w:r>
          </w:p>
          <w:p w14:paraId="21218698" w14:textId="264963DE" w:rsidR="00224504" w:rsidRDefault="00224504" w:rsidP="00485128">
            <w:pPr>
              <w:pStyle w:val="ListParagraph"/>
              <w:numPr>
                <w:ilvl w:val="0"/>
                <w:numId w:val="6"/>
              </w:numPr>
            </w:pPr>
            <w:r>
              <w:t>Compare performance of methods using representative computing hardware.</w:t>
            </w:r>
          </w:p>
        </w:tc>
      </w:tr>
      <w:tr w:rsidR="001D3FB6" w14:paraId="030F4407" w14:textId="77777777" w:rsidTr="00347B31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186C052D" w14:textId="06BDA837" w:rsidR="001D3FB6" w:rsidRDefault="00191A36" w:rsidP="005F5F65">
            <w:r>
              <w:t>Dispersions</w:t>
            </w:r>
            <w:r w:rsidR="007021D1">
              <w:t xml:space="preserve"> </w:t>
            </w:r>
            <w:r>
              <w:t>must</w:t>
            </w:r>
            <w:r w:rsidR="00485128">
              <w:t xml:space="preserve"> </w:t>
            </w:r>
            <w:r>
              <w:t>go beyond</w:t>
            </w:r>
            <w:r w:rsidR="007021D1">
              <w:t xml:space="preserve"> monodisperse hard-sphere suspensions</w:t>
            </w:r>
            <w:r w:rsidR="00485128">
              <w:t>.</w:t>
            </w:r>
          </w:p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968"/>
        <w:gridCol w:w="2969"/>
      </w:tblGrid>
      <w:tr w:rsidR="001D3FB6" w:rsidRPr="00347B31" w14:paraId="7EF82E2A" w14:textId="77777777" w:rsidTr="00DB2586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C80C0C">
        <w:tc>
          <w:tcPr>
            <w:tcW w:w="2968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968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2969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C80C0C">
        <w:tc>
          <w:tcPr>
            <w:tcW w:w="2968" w:type="dxa"/>
          </w:tcPr>
          <w:p w14:paraId="345B9B46" w14:textId="4D03C2FB" w:rsidR="001D3FB6" w:rsidRDefault="002F7E86" w:rsidP="001D3FB6">
            <w:r>
              <w:t>Joost de Graaf</w:t>
            </w:r>
          </w:p>
        </w:tc>
        <w:tc>
          <w:tcPr>
            <w:tcW w:w="2968" w:type="dxa"/>
          </w:tcPr>
          <w:p w14:paraId="39609EB4" w14:textId="57134005" w:rsidR="001D3FB6" w:rsidRDefault="002F7E86" w:rsidP="001D3FB6">
            <w:r>
              <w:t>Utrecht</w:t>
            </w:r>
          </w:p>
        </w:tc>
        <w:tc>
          <w:tcPr>
            <w:tcW w:w="2969" w:type="dxa"/>
          </w:tcPr>
          <w:p w14:paraId="4AB523CD" w14:textId="68E94CE5" w:rsidR="001D3FB6" w:rsidRDefault="002F7E86" w:rsidP="001D3FB6">
            <w:r w:rsidRPr="002F7E86">
              <w:t>j.degraaf@uu.nl</w:t>
            </w:r>
          </w:p>
        </w:tc>
      </w:tr>
      <w:tr w:rsidR="001D3FB6" w14:paraId="0ED652E0" w14:textId="77777777" w:rsidTr="00C80C0C">
        <w:tc>
          <w:tcPr>
            <w:tcW w:w="2968" w:type="dxa"/>
          </w:tcPr>
          <w:p w14:paraId="1C0A4521" w14:textId="34C756F4" w:rsidR="001D3FB6" w:rsidRDefault="001D3FB6" w:rsidP="001D3FB6"/>
        </w:tc>
        <w:tc>
          <w:tcPr>
            <w:tcW w:w="2968" w:type="dxa"/>
          </w:tcPr>
          <w:p w14:paraId="510AB6C3" w14:textId="15BAA7E2" w:rsidR="001D3FB6" w:rsidRDefault="001D3FB6" w:rsidP="001D3FB6"/>
        </w:tc>
        <w:tc>
          <w:tcPr>
            <w:tcW w:w="2969" w:type="dxa"/>
          </w:tcPr>
          <w:p w14:paraId="23124463" w14:textId="1A85AFEC" w:rsidR="001D3FB6" w:rsidRDefault="001D3FB6" w:rsidP="001D3FB6"/>
        </w:tc>
      </w:tr>
      <w:tr w:rsidR="001D3FB6" w14:paraId="5B7C46AE" w14:textId="77777777" w:rsidTr="00C80C0C">
        <w:tc>
          <w:tcPr>
            <w:tcW w:w="2968" w:type="dxa"/>
          </w:tcPr>
          <w:p w14:paraId="56458A7C" w14:textId="77777777" w:rsidR="001D3FB6" w:rsidRDefault="001D3FB6" w:rsidP="001D3FB6"/>
        </w:tc>
        <w:tc>
          <w:tcPr>
            <w:tcW w:w="2968" w:type="dxa"/>
          </w:tcPr>
          <w:p w14:paraId="44DE91DC" w14:textId="77777777" w:rsidR="001D3FB6" w:rsidRDefault="001D3FB6" w:rsidP="001D3FB6"/>
        </w:tc>
        <w:tc>
          <w:tcPr>
            <w:tcW w:w="2969" w:type="dxa"/>
          </w:tcPr>
          <w:p w14:paraId="298E8475" w14:textId="77777777" w:rsidR="001D3FB6" w:rsidRDefault="001D3FB6" w:rsidP="001D3FB6"/>
        </w:tc>
      </w:tr>
    </w:tbl>
    <w:p w14:paraId="46A4C451" w14:textId="3A0C2E32" w:rsidR="00BD035A" w:rsidRDefault="00BD035A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lastRenderedPageBreak/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4E224035" w:rsidR="001D3FB6" w:rsidRDefault="002F7E86">
            <w:r>
              <w:t>Jim Michaels</w:t>
            </w:r>
          </w:p>
        </w:tc>
        <w:tc>
          <w:tcPr>
            <w:tcW w:w="4590" w:type="dxa"/>
          </w:tcPr>
          <w:p w14:paraId="4ABCC0E3" w14:textId="26EAD8A3" w:rsidR="001D3FB6" w:rsidRDefault="00DF3E69">
            <w:r>
              <w:t>IFPRI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77777777" w:rsidR="001D3FB6" w:rsidRDefault="001D3FB6"/>
        </w:tc>
        <w:tc>
          <w:tcPr>
            <w:tcW w:w="4590" w:type="dxa"/>
          </w:tcPr>
          <w:p w14:paraId="0B1106CF" w14:textId="77777777" w:rsidR="001D3FB6" w:rsidRDefault="001D3FB6"/>
        </w:tc>
      </w:tr>
      <w:tr w:rsidR="001D3FB6" w14:paraId="7010B124" w14:textId="77777777" w:rsidTr="001D3FB6">
        <w:tc>
          <w:tcPr>
            <w:tcW w:w="4315" w:type="dxa"/>
          </w:tcPr>
          <w:p w14:paraId="40ED787B" w14:textId="77777777" w:rsidR="001D3FB6" w:rsidRDefault="001D3FB6"/>
        </w:tc>
        <w:tc>
          <w:tcPr>
            <w:tcW w:w="4590" w:type="dxa"/>
          </w:tcPr>
          <w:p w14:paraId="7133ECCF" w14:textId="77777777" w:rsidR="001D3FB6" w:rsidRDefault="001D3FB6"/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E879" w14:textId="77777777" w:rsidR="000C7522" w:rsidRDefault="000C7522">
      <w:r>
        <w:separator/>
      </w:r>
    </w:p>
  </w:endnote>
  <w:endnote w:type="continuationSeparator" w:id="0">
    <w:p w14:paraId="108BAF97" w14:textId="77777777" w:rsidR="000C7522" w:rsidRDefault="000C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77777777" w:rsidR="009454FC" w:rsidRDefault="009454FC">
    <w:pPr>
      <w:tabs>
        <w:tab w:val="left" w:pos="3480"/>
        <w:tab w:val="left" w:pos="3645"/>
      </w:tabs>
    </w:pPr>
    <w:r>
      <w:tab/>
      <w:t>Template v.1.0 -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1E54" w14:textId="77777777" w:rsidR="000C7522" w:rsidRDefault="000C7522">
      <w:r>
        <w:separator/>
      </w:r>
    </w:p>
  </w:footnote>
  <w:footnote w:type="continuationSeparator" w:id="0">
    <w:p w14:paraId="00830D0C" w14:textId="77777777" w:rsidR="000C7522" w:rsidRDefault="000C7522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proofErr w:type="gramStart"/>
    <w:r>
      <w:rPr>
        <w:b/>
        <w:smallCaps/>
        <w:sz w:val="28"/>
        <w:szCs w:val="28"/>
      </w:rPr>
      <w:t>IFPRI  Brief</w:t>
    </w:r>
    <w:proofErr w:type="gramEnd"/>
    <w:r>
      <w:rPr>
        <w:b/>
        <w:smallCaps/>
        <w:sz w:val="28"/>
        <w:szCs w:val="28"/>
      </w:rPr>
      <w:t xml:space="preserve">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2914"/>
    <w:multiLevelType w:val="hybridMultilevel"/>
    <w:tmpl w:val="B648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0841">
    <w:abstractNumId w:val="0"/>
  </w:num>
  <w:num w:numId="2" w16cid:durableId="1234387389">
    <w:abstractNumId w:val="1"/>
  </w:num>
  <w:num w:numId="3" w16cid:durableId="412581785">
    <w:abstractNumId w:val="2"/>
  </w:num>
  <w:num w:numId="4" w16cid:durableId="189026797">
    <w:abstractNumId w:val="4"/>
  </w:num>
  <w:num w:numId="5" w16cid:durableId="967397986">
    <w:abstractNumId w:val="3"/>
  </w:num>
  <w:num w:numId="6" w16cid:durableId="1494178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74B00"/>
    <w:rsid w:val="000937FC"/>
    <w:rsid w:val="000A78CD"/>
    <w:rsid w:val="000C7522"/>
    <w:rsid w:val="000E4F36"/>
    <w:rsid w:val="000F331F"/>
    <w:rsid w:val="00183AF1"/>
    <w:rsid w:val="00186EC5"/>
    <w:rsid w:val="00191A36"/>
    <w:rsid w:val="001959CC"/>
    <w:rsid w:val="001D3FB6"/>
    <w:rsid w:val="001F43A0"/>
    <w:rsid w:val="001F43BA"/>
    <w:rsid w:val="0020212E"/>
    <w:rsid w:val="002065B8"/>
    <w:rsid w:val="00222EF1"/>
    <w:rsid w:val="00224504"/>
    <w:rsid w:val="0028436C"/>
    <w:rsid w:val="002F7E86"/>
    <w:rsid w:val="003377B3"/>
    <w:rsid w:val="00347B31"/>
    <w:rsid w:val="00377931"/>
    <w:rsid w:val="003F4605"/>
    <w:rsid w:val="00485128"/>
    <w:rsid w:val="00527A5C"/>
    <w:rsid w:val="00577882"/>
    <w:rsid w:val="005E75D8"/>
    <w:rsid w:val="006953F9"/>
    <w:rsid w:val="006E0B20"/>
    <w:rsid w:val="007021D1"/>
    <w:rsid w:val="00854B50"/>
    <w:rsid w:val="00855EC0"/>
    <w:rsid w:val="00871D3A"/>
    <w:rsid w:val="00936B49"/>
    <w:rsid w:val="009442A2"/>
    <w:rsid w:val="009454FC"/>
    <w:rsid w:val="009960BD"/>
    <w:rsid w:val="009B6D70"/>
    <w:rsid w:val="009C4B77"/>
    <w:rsid w:val="00A06A81"/>
    <w:rsid w:val="00AD6A4F"/>
    <w:rsid w:val="00BD035A"/>
    <w:rsid w:val="00C25AA5"/>
    <w:rsid w:val="00CA2D2E"/>
    <w:rsid w:val="00D077C4"/>
    <w:rsid w:val="00D831CF"/>
    <w:rsid w:val="00DB1949"/>
    <w:rsid w:val="00DF3E69"/>
    <w:rsid w:val="00E27B28"/>
    <w:rsid w:val="00E37EA0"/>
    <w:rsid w:val="00E458AF"/>
    <w:rsid w:val="00ED2D2F"/>
    <w:rsid w:val="00F323EB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IFPRI  Project / Review Brief Template</vt:lpstr>
    </vt:vector>
  </TitlesOfParts>
  <Company>PURAC Biochem BV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Boerefijn</dc:creator>
  <cp:keywords/>
  <cp:lastModifiedBy>Jim Michaels</cp:lastModifiedBy>
  <cp:revision>12</cp:revision>
  <dcterms:created xsi:type="dcterms:W3CDTF">2015-06-15T20:34:00Z</dcterms:created>
  <dcterms:modified xsi:type="dcterms:W3CDTF">2025-06-17T20:06:00Z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